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5D2427" w:rsidRPr="005D2427" w:rsidTr="005D2427">
        <w:trPr>
          <w:tblCellSpacing w:w="0" w:type="dxa"/>
        </w:trPr>
        <w:tc>
          <w:tcPr>
            <w:tcW w:w="3348"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bookmarkStart w:id="0" w:name="_GoBack"/>
            <w:bookmarkEnd w:id="0"/>
            <w:r w:rsidRPr="005D2427">
              <w:rPr>
                <w:rFonts w:ascii="Times New Roman" w:eastAsia="Times New Roman" w:hAnsi="Times New Roman" w:cs="Times New Roman"/>
                <w:b/>
                <w:bCs/>
                <w:color w:val="000000"/>
                <w:sz w:val="28"/>
                <w:szCs w:val="28"/>
              </w:rPr>
              <w:t>BỘ Y TẾ</w:t>
            </w:r>
            <w:r w:rsidRPr="005D2427">
              <w:rPr>
                <w:rFonts w:ascii="Times New Roman" w:eastAsia="Times New Roman" w:hAnsi="Times New Roman" w:cs="Times New Roman"/>
                <w:b/>
                <w:bCs/>
                <w:color w:val="000000"/>
                <w:sz w:val="28"/>
                <w:szCs w:val="28"/>
              </w:rPr>
              <w:br/>
              <w:t>--------</w:t>
            </w:r>
          </w:p>
        </w:tc>
        <w:tc>
          <w:tcPr>
            <w:tcW w:w="6541"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CỘNG HÒA XÃ HỘI CHỦ NGHĨA VIỆT NAM</w:t>
            </w:r>
            <w:r w:rsidRPr="005D2427">
              <w:rPr>
                <w:rFonts w:ascii="Times New Roman" w:eastAsia="Times New Roman" w:hAnsi="Times New Roman" w:cs="Times New Roman"/>
                <w:b/>
                <w:bCs/>
                <w:color w:val="000000"/>
                <w:sz w:val="28"/>
                <w:szCs w:val="28"/>
              </w:rPr>
              <w:br/>
              <w:t>Độc lập - Tự do - Hạnh phúc </w:t>
            </w:r>
            <w:r w:rsidRPr="005D2427">
              <w:rPr>
                <w:rFonts w:ascii="Times New Roman" w:eastAsia="Times New Roman" w:hAnsi="Times New Roman" w:cs="Times New Roman"/>
                <w:b/>
                <w:bCs/>
                <w:color w:val="000000"/>
                <w:sz w:val="28"/>
                <w:szCs w:val="28"/>
              </w:rPr>
              <w:br/>
              <w:t>---------------</w:t>
            </w:r>
          </w:p>
        </w:tc>
      </w:tr>
      <w:tr w:rsidR="005D2427" w:rsidRPr="005D2427" w:rsidTr="005D2427">
        <w:trPr>
          <w:tblCellSpacing w:w="0" w:type="dxa"/>
        </w:trPr>
        <w:tc>
          <w:tcPr>
            <w:tcW w:w="3348" w:type="dxa"/>
            <w:shd w:val="clear" w:color="auto" w:fill="FFFFFF"/>
            <w:tcMar>
              <w:top w:w="0" w:type="dxa"/>
              <w:left w:w="108" w:type="dxa"/>
              <w:bottom w:w="0" w:type="dxa"/>
              <w:right w:w="108" w:type="dxa"/>
            </w:tcMar>
            <w:hideMark/>
          </w:tcPr>
          <w:p w:rsidR="005D2427" w:rsidRPr="005D2427" w:rsidRDefault="005D2427" w:rsidP="005D2427">
            <w:pPr>
              <w:spacing w:after="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Số: </w:t>
            </w:r>
            <w:bookmarkStart w:id="1" w:name="ole_link2"/>
            <w:bookmarkStart w:id="2" w:name="ole_link1"/>
            <w:bookmarkEnd w:id="1"/>
            <w:bookmarkEnd w:id="2"/>
            <w:r w:rsidRPr="005D2427">
              <w:rPr>
                <w:rFonts w:ascii="Times New Roman" w:eastAsia="Times New Roman" w:hAnsi="Times New Roman" w:cs="Times New Roman"/>
                <w:color w:val="000000"/>
                <w:sz w:val="28"/>
                <w:szCs w:val="28"/>
              </w:rPr>
              <w:t>54/2017/TT-BYT</w:t>
            </w:r>
          </w:p>
        </w:tc>
        <w:tc>
          <w:tcPr>
            <w:tcW w:w="6541"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Hà Nội, ngày 29 tháng 12 năm 2017</w:t>
            </w:r>
          </w:p>
        </w:tc>
      </w:tr>
    </w:tbl>
    <w:p w:rsidR="005D2427" w:rsidRP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p>
    <w:p w:rsidR="005D2427" w:rsidRP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THÔNG TƯ</w:t>
      </w:r>
    </w:p>
    <w:p w:rsid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BAN HÀNH BỘ TIÊU CHÍ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Căn cứ Nghị định số </w:t>
      </w:r>
      <w:hyperlink r:id="rId4" w:tgtFrame="_blank" w:history="1">
        <w:r w:rsidRPr="005D2427">
          <w:rPr>
            <w:rFonts w:ascii="Times New Roman" w:eastAsia="Times New Roman" w:hAnsi="Times New Roman" w:cs="Times New Roman"/>
            <w:i/>
            <w:iCs/>
            <w:color w:val="0E70C3"/>
            <w:sz w:val="28"/>
            <w:szCs w:val="28"/>
          </w:rPr>
          <w:t>75/2017/NĐ-CP</w:t>
        </w:r>
      </w:hyperlink>
      <w:r w:rsidRPr="005D2427">
        <w:rPr>
          <w:rFonts w:ascii="Times New Roman" w:eastAsia="Times New Roman" w:hAnsi="Times New Roman" w:cs="Times New Roman"/>
          <w:i/>
          <w:iCs/>
          <w:color w:val="000000"/>
          <w:sz w:val="28"/>
          <w:szCs w:val="28"/>
        </w:rPr>
        <w:t> ngày 20 tháng 6 năm 2017 của Chính phủ quy định chức năng, nhiệm vụ, quyền hạn và cơ cấu tổ chức của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Theo đề nghị của Cục trưởng Cục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Bộ trưởng Bộ Y tế ban hành Thông tư ban hành Bộ tiêu chí về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1. Phạm vi điều chỉnh và đối tượng áp dụng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Thông tư này ban hành Bộ tiêu chí ứng dụng công nghệ thông tin và hướng dẫn xác định mức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Thông tư này áp dụng cho cơ sở khám bệnh, chữa bệnh đã được cấp giấy phép hoạt động theo quy định của Luật Khám bệnh, chữa bệnh.</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2"/>
      <w:r w:rsidRPr="005D2427">
        <w:rPr>
          <w:rFonts w:ascii="Times New Roman" w:eastAsia="Times New Roman" w:hAnsi="Times New Roman" w:cs="Times New Roman"/>
          <w:b/>
          <w:bCs/>
          <w:color w:val="000000"/>
          <w:sz w:val="28"/>
          <w:szCs w:val="28"/>
        </w:rPr>
        <w:t>Điều 2. Giải thích từ ngữ</w:t>
      </w:r>
      <w:bookmarkEnd w:id="3"/>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Trong Thông tư này, các từ ngữ dưới đây được hiểu như sau:</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r w:rsidRPr="005D2427">
        <w:rPr>
          <w:rFonts w:ascii="Times New Roman" w:eastAsia="Times New Roman" w:hAnsi="Times New Roman" w:cs="Times New Roman"/>
          <w:i/>
          <w:iCs/>
          <w:color w:val="000000"/>
          <w:sz w:val="28"/>
          <w:szCs w:val="28"/>
        </w:rPr>
        <w:t> HIS </w:t>
      </w:r>
      <w:r w:rsidRPr="005D2427">
        <w:rPr>
          <w:rFonts w:ascii="Times New Roman" w:eastAsia="Times New Roman" w:hAnsi="Times New Roman" w:cs="Times New Roman"/>
          <w:color w:val="000000"/>
          <w:sz w:val="28"/>
          <w:szCs w:val="28"/>
        </w:rPr>
        <w:t>là chữ viết tắt của cụm từ tiếng Anh “Hospital Information System” được dịch sang tiếng Việt là “Hệ thống thông tin bệnh viện”.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r w:rsidRPr="005D2427">
        <w:rPr>
          <w:rFonts w:ascii="Times New Roman" w:eastAsia="Times New Roman" w:hAnsi="Times New Roman" w:cs="Times New Roman"/>
          <w:i/>
          <w:iCs/>
          <w:color w:val="000000"/>
          <w:sz w:val="28"/>
          <w:szCs w:val="28"/>
        </w:rPr>
        <w:t> LIS </w:t>
      </w:r>
      <w:r w:rsidRPr="005D2427">
        <w:rPr>
          <w:rFonts w:ascii="Times New Roman" w:eastAsia="Times New Roman" w:hAnsi="Times New Roman" w:cs="Times New Roman"/>
          <w:color w:val="000000"/>
          <w:sz w:val="28"/>
          <w:szCs w:val="28"/>
        </w:rPr>
        <w:t>là chữ viết tắt của cụm từ tiếng Anh “Laboratory Information System” được dịch sang tiếng Việt là “Hệ thống thông tin xét nghiệm”.</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w:t>
      </w:r>
      <w:r w:rsidRPr="005D2427">
        <w:rPr>
          <w:rFonts w:ascii="Times New Roman" w:eastAsia="Times New Roman" w:hAnsi="Times New Roman" w:cs="Times New Roman"/>
          <w:i/>
          <w:iCs/>
          <w:color w:val="000000"/>
          <w:sz w:val="28"/>
          <w:szCs w:val="28"/>
        </w:rPr>
        <w:t>RIS </w:t>
      </w:r>
      <w:r w:rsidRPr="005D2427">
        <w:rPr>
          <w:rFonts w:ascii="Times New Roman" w:eastAsia="Times New Roman" w:hAnsi="Times New Roman" w:cs="Times New Roman"/>
          <w:color w:val="000000"/>
          <w:sz w:val="28"/>
          <w:szCs w:val="28"/>
        </w:rPr>
        <w:t>là chữ viết tắt của cụm từ tiếng Anh “Radiology Information System” được dịch sang tiếng Việt là “Hệ thống thông tin chẩn đoán hình ảnh”.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w:t>
      </w:r>
      <w:r w:rsidRPr="005D2427">
        <w:rPr>
          <w:rFonts w:ascii="Times New Roman" w:eastAsia="Times New Roman" w:hAnsi="Times New Roman" w:cs="Times New Roman"/>
          <w:i/>
          <w:iCs/>
          <w:color w:val="000000"/>
          <w:sz w:val="28"/>
          <w:szCs w:val="28"/>
        </w:rPr>
        <w:t> PACS </w:t>
      </w:r>
      <w:r w:rsidRPr="005D2427">
        <w:rPr>
          <w:rFonts w:ascii="Times New Roman" w:eastAsia="Times New Roman" w:hAnsi="Times New Roman" w:cs="Times New Roman"/>
          <w:color w:val="000000"/>
          <w:sz w:val="28"/>
          <w:szCs w:val="28"/>
        </w:rPr>
        <w:t>là chữ viết tắt của cụm từ tiếng Anh “Picture Archiving and Communication System” được dịch sang tiếng Việt là “Hệ thống lưu trữ và truyền tải hình ảnh”.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r w:rsidRPr="005D2427">
        <w:rPr>
          <w:rFonts w:ascii="Times New Roman" w:eastAsia="Times New Roman" w:hAnsi="Times New Roman" w:cs="Times New Roman"/>
          <w:i/>
          <w:iCs/>
          <w:color w:val="000000"/>
          <w:sz w:val="28"/>
          <w:szCs w:val="28"/>
        </w:rPr>
        <w:t>. EMR </w:t>
      </w:r>
      <w:r w:rsidRPr="005D2427">
        <w:rPr>
          <w:rFonts w:ascii="Times New Roman" w:eastAsia="Times New Roman" w:hAnsi="Times New Roman" w:cs="Times New Roman"/>
          <w:color w:val="000000"/>
          <w:sz w:val="28"/>
          <w:szCs w:val="28"/>
        </w:rPr>
        <w:t>là chữ viết tắt của cụm từ tiếng Anh “Electronic Medical Record” được dịch sang tiếng Việt là “Bệnh án điện tử”.</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r w:rsidRPr="005D2427">
        <w:rPr>
          <w:rFonts w:ascii="Times New Roman" w:eastAsia="Times New Roman" w:hAnsi="Times New Roman" w:cs="Times New Roman"/>
          <w:i/>
          <w:iCs/>
          <w:color w:val="000000"/>
          <w:sz w:val="28"/>
          <w:szCs w:val="28"/>
        </w:rPr>
        <w:t>. CDR </w:t>
      </w:r>
      <w:r w:rsidRPr="005D2427">
        <w:rPr>
          <w:rFonts w:ascii="Times New Roman" w:eastAsia="Times New Roman" w:hAnsi="Times New Roman" w:cs="Times New Roman"/>
          <w:color w:val="000000"/>
          <w:sz w:val="28"/>
          <w:szCs w:val="28"/>
        </w:rPr>
        <w:t>là chữ viết tắt của cụm từ tiếng Anh “Clinical Data Repository” được dịch sang tiếng Việt là “Kho dữ liệu lâm sàng”.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r w:rsidRPr="005D2427">
        <w:rPr>
          <w:rFonts w:ascii="Times New Roman" w:eastAsia="Times New Roman" w:hAnsi="Times New Roman" w:cs="Times New Roman"/>
          <w:i/>
          <w:iCs/>
          <w:color w:val="000000"/>
          <w:sz w:val="28"/>
          <w:szCs w:val="28"/>
        </w:rPr>
        <w:t> CDSS </w:t>
      </w:r>
      <w:r w:rsidRPr="005D2427">
        <w:rPr>
          <w:rFonts w:ascii="Times New Roman" w:eastAsia="Times New Roman" w:hAnsi="Times New Roman" w:cs="Times New Roman"/>
          <w:color w:val="000000"/>
          <w:sz w:val="28"/>
          <w:szCs w:val="28"/>
        </w:rPr>
        <w:t>là chữ viết tắt của cụm từ tiếng Anh “Clinical Decision Support System” được dịch sang tiếng Việt là “Hệ thống hỗ trợ quyết định lâm sàng”.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8</w:t>
      </w:r>
      <w:r w:rsidRPr="005D2427">
        <w:rPr>
          <w:rFonts w:ascii="Times New Roman" w:eastAsia="Times New Roman" w:hAnsi="Times New Roman" w:cs="Times New Roman"/>
          <w:i/>
          <w:iCs/>
          <w:color w:val="000000"/>
          <w:sz w:val="28"/>
          <w:szCs w:val="28"/>
        </w:rPr>
        <w:t>. </w:t>
      </w:r>
      <w:r w:rsidRPr="005D2427">
        <w:rPr>
          <w:rFonts w:ascii="Times New Roman" w:eastAsia="Times New Roman" w:hAnsi="Times New Roman" w:cs="Times New Roman"/>
          <w:i/>
          <w:iCs/>
          <w:color w:val="000000"/>
          <w:sz w:val="28"/>
          <w:szCs w:val="28"/>
          <w:shd w:val="clear" w:color="auto" w:fill="FFFFFF"/>
        </w:rPr>
        <w:t>Tiêu chuẩn HL7 </w:t>
      </w:r>
      <w:r w:rsidRPr="005D2427">
        <w:rPr>
          <w:rFonts w:ascii="Times New Roman" w:eastAsia="Times New Roman" w:hAnsi="Times New Roman" w:cs="Times New Roman"/>
          <w:color w:val="000000"/>
          <w:sz w:val="28"/>
          <w:szCs w:val="28"/>
          <w:shd w:val="clear" w:color="auto" w:fill="FFFFFF"/>
        </w:rPr>
        <w:t>là chữ viết tắt của cụm từ tiếng Anh “Health Level 7 Standard” là tiêu chuẩn quốc tế cung cấp giao thức về quản lý, trao đổi và tích hợp thông tin y tế điện tử giữa các hệ thống thông tin y tế</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9. </w:t>
      </w:r>
      <w:r w:rsidRPr="005D2427">
        <w:rPr>
          <w:rFonts w:ascii="Times New Roman" w:eastAsia="Times New Roman" w:hAnsi="Times New Roman" w:cs="Times New Roman"/>
          <w:i/>
          <w:iCs/>
          <w:color w:val="000000"/>
          <w:sz w:val="28"/>
          <w:szCs w:val="28"/>
          <w:shd w:val="clear" w:color="auto" w:fill="FFFFFF"/>
        </w:rPr>
        <w:t>Tiêu chuẩn HL7 CDA </w:t>
      </w:r>
      <w:r w:rsidRPr="005D2427">
        <w:rPr>
          <w:rFonts w:ascii="Times New Roman" w:eastAsia="Times New Roman" w:hAnsi="Times New Roman" w:cs="Times New Roman"/>
          <w:color w:val="000000"/>
          <w:sz w:val="28"/>
          <w:szCs w:val="28"/>
          <w:shd w:val="clear" w:color="auto" w:fill="FFFFFF"/>
        </w:rPr>
        <w:t>chữ </w:t>
      </w:r>
      <w:r w:rsidRPr="005D2427">
        <w:rPr>
          <w:rFonts w:ascii="Times New Roman" w:eastAsia="Times New Roman" w:hAnsi="Times New Roman" w:cs="Times New Roman"/>
          <w:color w:val="000000"/>
          <w:sz w:val="28"/>
          <w:szCs w:val="28"/>
        </w:rPr>
        <w:t>viết</w:t>
      </w:r>
      <w:r w:rsidRPr="005D2427">
        <w:rPr>
          <w:rFonts w:ascii="Times New Roman" w:eastAsia="Times New Roman" w:hAnsi="Times New Roman" w:cs="Times New Roman"/>
          <w:color w:val="000000"/>
          <w:sz w:val="28"/>
          <w:szCs w:val="28"/>
          <w:shd w:val="clear" w:color="auto" w:fill="FFFFFF"/>
        </w:rPr>
        <w:t> tắt của cụm từ</w:t>
      </w:r>
      <w:r w:rsidRPr="005D2427">
        <w:rPr>
          <w:rFonts w:ascii="Times New Roman" w:eastAsia="Times New Roman" w:hAnsi="Times New Roman" w:cs="Times New Roman"/>
          <w:i/>
          <w:iCs/>
          <w:color w:val="000000"/>
          <w:sz w:val="28"/>
          <w:szCs w:val="28"/>
          <w:shd w:val="clear" w:color="auto" w:fill="FFFFFF"/>
        </w:rPr>
        <w:t> </w:t>
      </w:r>
      <w:r w:rsidRPr="005D2427">
        <w:rPr>
          <w:rFonts w:ascii="Times New Roman" w:eastAsia="Times New Roman" w:hAnsi="Times New Roman" w:cs="Times New Roman"/>
          <w:color w:val="000000"/>
          <w:sz w:val="28"/>
          <w:szCs w:val="28"/>
          <w:shd w:val="clear" w:color="auto" w:fill="FFFFFF"/>
        </w:rPr>
        <w:t>tiếng Anh “Health Level 7 Clinical Document Architecture”</w:t>
      </w:r>
      <w:r w:rsidRPr="005D2427">
        <w:rPr>
          <w:rFonts w:ascii="Times New Roman" w:eastAsia="Times New Roman" w:hAnsi="Times New Roman" w:cs="Times New Roman"/>
          <w:i/>
          <w:iCs/>
          <w:color w:val="000000"/>
          <w:sz w:val="28"/>
          <w:szCs w:val="28"/>
          <w:shd w:val="clear" w:color="auto" w:fill="FFFFFF"/>
        </w:rPr>
        <w:t> </w:t>
      </w:r>
      <w:r w:rsidRPr="005D2427">
        <w:rPr>
          <w:rFonts w:ascii="Times New Roman" w:eastAsia="Times New Roman" w:hAnsi="Times New Roman" w:cs="Times New Roman"/>
          <w:color w:val="000000"/>
          <w:sz w:val="28"/>
          <w:szCs w:val="28"/>
          <w:shd w:val="clear" w:color="auto" w:fill="FFFFFF"/>
        </w:rPr>
        <w:t>là tài liệu có cấu trúc dựa trên định dạng XML quy định cấu trúc và ngữ nghĩa dữ liệu lâm sàng phục vụ mục tiêu trao đổi dữ liệu giữa các bên liên quan.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w:t>
      </w:r>
      <w:r w:rsidRPr="005D2427">
        <w:rPr>
          <w:rFonts w:ascii="Times New Roman" w:eastAsia="Times New Roman" w:hAnsi="Times New Roman" w:cs="Times New Roman"/>
          <w:i/>
          <w:iCs/>
          <w:color w:val="000000"/>
          <w:sz w:val="28"/>
          <w:szCs w:val="28"/>
        </w:rPr>
        <w:t>. CCD </w:t>
      </w:r>
      <w:r w:rsidRPr="005D2427">
        <w:rPr>
          <w:rFonts w:ascii="Times New Roman" w:eastAsia="Times New Roman" w:hAnsi="Times New Roman" w:cs="Times New Roman"/>
          <w:color w:val="000000"/>
          <w:sz w:val="28"/>
          <w:szCs w:val="28"/>
        </w:rPr>
        <w:t>là chữ viết tắt của cụm từ tiếng Anh “Continuity of Care Document” được dịch sang tiếng Việt là tập tin điện tử về tài liệu chăm sóc sức khỏe liên tục.</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w:t>
      </w:r>
      <w:r w:rsidRPr="005D2427">
        <w:rPr>
          <w:rFonts w:ascii="Times New Roman" w:eastAsia="Times New Roman" w:hAnsi="Times New Roman" w:cs="Times New Roman"/>
          <w:i/>
          <w:iCs/>
          <w:color w:val="000000"/>
          <w:sz w:val="28"/>
          <w:szCs w:val="28"/>
        </w:rPr>
        <w:t>. DICOM </w:t>
      </w:r>
      <w:r w:rsidRPr="005D2427">
        <w:rPr>
          <w:rFonts w:ascii="Times New Roman" w:eastAsia="Times New Roman" w:hAnsi="Times New Roman" w:cs="Times New Roman"/>
          <w:color w:val="000000"/>
          <w:sz w:val="28"/>
          <w:szCs w:val="28"/>
        </w:rPr>
        <w:t>là chữ viết tắt của cụm từ tiếng Anh “Digital Imaging Communication in Medicine” là t</w:t>
      </w:r>
      <w:r w:rsidRPr="005D2427">
        <w:rPr>
          <w:rFonts w:ascii="Times New Roman" w:eastAsia="Times New Roman" w:hAnsi="Times New Roman" w:cs="Times New Roman"/>
          <w:color w:val="000000"/>
          <w:sz w:val="28"/>
          <w:szCs w:val="28"/>
          <w:lang w:val="vi-VN"/>
        </w:rPr>
        <w:t>iêu chuẩn quốc tế </w:t>
      </w:r>
      <w:r w:rsidRPr="005D2427">
        <w:rPr>
          <w:rFonts w:ascii="Times New Roman" w:eastAsia="Times New Roman" w:hAnsi="Times New Roman" w:cs="Times New Roman"/>
          <w:color w:val="000000"/>
          <w:sz w:val="28"/>
          <w:szCs w:val="28"/>
        </w:rPr>
        <w:t>để truyền tải, lưu trữ, truy xuất, in ấn, xử lý và hiển thị thông tin hình ảnh y khoa.</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3. Ban hành Bộ tiêu chí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Bộ tiêu chí ứng dụng công nghệ thông tin tại cơ sở khám bệnh, chữa bệnh bao gồm 08 nhóm tiêu chí về: Hạ tầng, phần mềm quản lý điều hành, HIS, RIS-PACS, LIS, phi chức năng, bảo mật và an toàn thông tin, EMR được quy định tại Phụ lục I Thông tư này.</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4. Nguyên tắc xác định mức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Mức ứng dụng công nghệ thông tin tại cơ sở khám bệnh, chữa bệnh được xác định theo bảng tổng hợp tiêu chí để đánh giá mức ứng dụng công nghệ thông tin tại cơ sở khám bệnh, chữa bệnh quy định tại Phụ lục II Thông tư này.</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Bảo đảm nguyên tắc khách quan, chính xác và trung thực.</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Phải đạt tất cả tiêu chí ở mức đánh giá. Nếu có ít nhất 01 tiêu chí không đạt thì xếp ở mức thấp hơn liền kề.</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5. Hướng dẫn việc xác định mức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Căn cứ vào quy định tại Điều 3 và Điều 4 Thông tư này, người đứng đầu cơ sở khám bệnh, chữa bệnh quyết định đầu tư theo thẩm quyền và ban hành quyết định xác định mức ứng dụng công nghệ thông tin tại cơ sở phụ trách. Trong trường hợp cần thiết, người đứng đầu cơ sở khám bệnh, chữa bệnh thành lập Hội đồng chuyên môn hoặc thuê tổ chức độc lập để tư vấn việc xác định mức ứng dụng công nghệ thông tin tại cơ sở phụ trách.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Quyết định xác định mức ứng dụng công nghệ thông tin của cơ sở khám bệnh, chữa bệnh phải được gửi báo cáo cơ quan quản lý cấp trên trực tiếp và gửi Cục Công nghệ thông tin -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Người đứng đầu cơ sở khám bệnh, chữa bệnh chịu trách nhiệm trước pháp luật và cơ quan quản lý cấp trên về việc xác định mức ứng dụng công nghệ thông tin tại cơ sở phụ trách; có trách nhiệm xác định lại mức ứng dụng công nghệ thông tin nếu cơ quan quản lý y tế cấp trên kiểm tra phát hiện mức ứng dụng công nghệ thông tin tại cơ sở khám bệnh, chữa bệnh chưa phù hợp với văn bản báo cáo.</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lang w:val="vi-VN"/>
        </w:rPr>
        <w:lastRenderedPageBreak/>
        <w:t>Điều </w:t>
      </w:r>
      <w:r w:rsidRPr="005D2427">
        <w:rPr>
          <w:rFonts w:ascii="Times New Roman" w:eastAsia="Times New Roman" w:hAnsi="Times New Roman" w:cs="Times New Roman"/>
          <w:b/>
          <w:bCs/>
          <w:color w:val="000000"/>
          <w:sz w:val="28"/>
          <w:szCs w:val="28"/>
        </w:rPr>
        <w:t>6</w:t>
      </w:r>
      <w:r w:rsidRPr="005D2427">
        <w:rPr>
          <w:rFonts w:ascii="Times New Roman" w:eastAsia="Times New Roman" w:hAnsi="Times New Roman" w:cs="Times New Roman"/>
          <w:b/>
          <w:bCs/>
          <w:color w:val="000000"/>
          <w:sz w:val="28"/>
          <w:szCs w:val="28"/>
          <w:lang w:val="vi-VN"/>
        </w:rPr>
        <w:t>. </w:t>
      </w:r>
      <w:r w:rsidRPr="005D2427">
        <w:rPr>
          <w:rFonts w:ascii="Times New Roman" w:eastAsia="Times New Roman" w:hAnsi="Times New Roman" w:cs="Times New Roman"/>
          <w:b/>
          <w:bCs/>
          <w:color w:val="000000"/>
          <w:sz w:val="28"/>
          <w:szCs w:val="28"/>
        </w:rPr>
        <w:t>Hiệu lực thi hành</w:t>
      </w:r>
      <w:bookmarkStart w:id="4" w:name="dieu_4_name"/>
      <w:bookmarkEnd w:id="4"/>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Thông tư này có hiệu lực kể từ ngày</w:t>
      </w:r>
      <w:bookmarkStart w:id="5" w:name="dieu_5"/>
      <w:bookmarkEnd w:id="5"/>
      <w:r w:rsidRPr="005D2427">
        <w:rPr>
          <w:rFonts w:ascii="Times New Roman" w:eastAsia="Times New Roman" w:hAnsi="Times New Roman" w:cs="Times New Roman"/>
          <w:color w:val="000000"/>
          <w:sz w:val="28"/>
          <w:szCs w:val="28"/>
        </w:rPr>
        <w:t> 27 tháng 02 năm 2018.</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7. Tổ chức thực hiện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Các Vụ, Cục, Tổng cục, Thanh tra Bộ, Văn phòng Bộ thuộc Bộ Y tế có trách nhiệm:</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a) Cục </w:t>
      </w:r>
      <w:r w:rsidRPr="005D2427">
        <w:rPr>
          <w:rFonts w:ascii="Times New Roman" w:eastAsia="Times New Roman" w:hAnsi="Times New Roman" w:cs="Times New Roman"/>
          <w:color w:val="000000"/>
          <w:sz w:val="28"/>
          <w:szCs w:val="28"/>
          <w:lang w:val="pt-BR"/>
        </w:rPr>
        <w:t>Công </w:t>
      </w:r>
      <w:r w:rsidRPr="005D2427">
        <w:rPr>
          <w:rFonts w:ascii="Times New Roman" w:eastAsia="Times New Roman" w:hAnsi="Times New Roman" w:cs="Times New Roman"/>
          <w:color w:val="000000"/>
          <w:sz w:val="28"/>
          <w:szCs w:val="28"/>
        </w:rPr>
        <w:t>nghệ thông tin chủ trì, phối hợp với Cục Quản lý Khám, chữa bệnh chỉ đạo, hướng dẫn, thanh tra và kiểm tra việc thực hiện Thông tư này; công bố mức ứng dụng công nghệ thông tin của các cơ sở khám bệnh, chữa bệnh trên toàn quốc trên Trang thông tin điện tử tổng hợp của Cục Công nghệ thông tin (http://ehealth.gov.vn).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 Văn phòng Bộ, Thanh tra Bộ, các Vụ, Cục, Tổng cục thuộc Bộ Y tế phối hợp với Cục Công nghệ thông tin tham gia công tác quản lý nhà nước đối với hoạt động ứng dụng công nghệ thông tin theo chức năng, nhiệm vụ được giao.</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Sở Y tế và Y tế Bộ, ngành có trách nhiệm chỉ đạo, hướng dẫn, kiểm tra, thanh tra việc thực hiện Thông tư này theo thẩm quyền quản lý; định kỳ vào tháng 12 hằng năm tổng hợp báo cáo Cục Công nghệ thông tin - Bộ Y tế về tình hình ứng dụng công nghệ thông tin của các đơn vị thuộc thẩm quyền quản lý.</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Các cơ sở khám bệnh, chữa bệnh có trách nhiệm xác định mức ứng dụng công nghệ thông tin và có văn bản báo cáo (mẫu quy định tại Phụ lục III Thông tư này) cơ quan quản lý y tế cấp trên trực tiếp, cụ thể như sau:</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a) Đối với cơ sở khám bệnh, chữa bệnh trực thuộc Bộ Y tế: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Công nghệ thông tin -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b) Đối với cơ sở khám bệnh, chữa bệnh thuộc thẩm quyền quản lý của Bộ Quốc phòng,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Quân Y - Bộ Quốc phòng; cơ sở khám bệnh, chữa bệnh thuộc thẩm quyền quản lý của Bộ Công an,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Y tế - Bộ Công an; cơ sở khám bệnh, chữa bệnh thuộc thẩm quyền quản lý của Bộ Giao thông vận tải,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Y tế Giao thông vận tải - Bộ Giao thông Vận tải.</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c) Đối </w:t>
      </w:r>
      <w:r w:rsidRPr="005D2427">
        <w:rPr>
          <w:rFonts w:ascii="Times New Roman" w:eastAsia="Times New Roman" w:hAnsi="Times New Roman" w:cs="Times New Roman"/>
          <w:color w:val="000000"/>
          <w:sz w:val="28"/>
          <w:szCs w:val="28"/>
        </w:rPr>
        <w:t>với </w:t>
      </w:r>
      <w:r w:rsidRPr="005D2427">
        <w:rPr>
          <w:rFonts w:ascii="Times New Roman" w:eastAsia="Times New Roman" w:hAnsi="Times New Roman" w:cs="Times New Roman"/>
          <w:color w:val="000000"/>
          <w:sz w:val="28"/>
          <w:szCs w:val="28"/>
          <w:lang w:val="pt-BR"/>
        </w:rPr>
        <w:t>cơ sở khám bệnh, chữa bệnh thuộc thẩm quyền quản lý của Sở Y tế tỉnh, thành phố trực thuộc Trung ương; cơ sở khám bệnh, chữa bệnh có trụ sở tại tỉnh, thành phố trực thuộc Trung ương (trừ các cơ sở khám bệnh, chữa bệnh quy định tại điểm a và điểm b khoản 3 Điều này):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Sở Y tế nơi cơ sở khám bệnh, chữa bệnh đặt trụ sở.</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 Định kỳ vào tháng 12 hằng năm báo cáo cơ quan quản lý y tế cấp trên trực tiếp về tình hình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Trong quá trình thực hiện nếu có khó khăn, vướng mắc, đề nghị các tổ chức, cá nhân phản ánh về Bộ Y tế (Cục Công nghệ thông tin) để xem xét, giải quyết./.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3"/>
        <w:gridCol w:w="3686"/>
      </w:tblGrid>
      <w:tr w:rsidR="005D2427" w:rsidRPr="005D2427" w:rsidTr="005D2427">
        <w:trPr>
          <w:tblCellSpacing w:w="0" w:type="dxa"/>
        </w:trPr>
        <w:tc>
          <w:tcPr>
            <w:tcW w:w="5103" w:type="dxa"/>
            <w:shd w:val="clear" w:color="auto" w:fill="FFFFFF"/>
            <w:tcMar>
              <w:top w:w="0" w:type="dxa"/>
              <w:left w:w="108" w:type="dxa"/>
              <w:bottom w:w="0" w:type="dxa"/>
              <w:right w:w="108" w:type="dxa"/>
            </w:tcMar>
            <w:hideMark/>
          </w:tcPr>
          <w:p w:rsidR="005D2427" w:rsidRPr="005D2427" w:rsidRDefault="005D2427" w:rsidP="009645AF">
            <w:pPr>
              <w:spacing w:after="120" w:line="234" w:lineRule="atLeast"/>
              <w:rPr>
                <w:rFonts w:ascii="Times New Roman" w:eastAsia="Times New Roman" w:hAnsi="Times New Roman" w:cs="Times New Roman"/>
                <w:color w:val="000000"/>
              </w:rPr>
            </w:pPr>
            <w:r w:rsidRPr="005D2427">
              <w:rPr>
                <w:rFonts w:ascii="Times New Roman" w:eastAsia="Times New Roman" w:hAnsi="Times New Roman" w:cs="Times New Roman"/>
                <w:b/>
                <w:bCs/>
                <w:i/>
                <w:iCs/>
                <w:color w:val="000000"/>
                <w:sz w:val="24"/>
                <w:szCs w:val="24"/>
              </w:rPr>
              <w:lastRenderedPageBreak/>
              <w:t> </w:t>
            </w:r>
            <w:r w:rsidRPr="005D2427">
              <w:rPr>
                <w:rFonts w:ascii="Times New Roman" w:eastAsia="Times New Roman" w:hAnsi="Times New Roman" w:cs="Times New Roman"/>
                <w:b/>
                <w:bCs/>
                <w:i/>
                <w:iCs/>
                <w:color w:val="000000"/>
                <w:sz w:val="24"/>
                <w:szCs w:val="24"/>
                <w:lang w:val="vi-VN"/>
              </w:rPr>
              <w:t>Nơi nhận:</w:t>
            </w:r>
            <w:r w:rsidRPr="005D2427">
              <w:rPr>
                <w:rFonts w:ascii="Times New Roman" w:eastAsia="Times New Roman" w:hAnsi="Times New Roman" w:cs="Times New Roman"/>
                <w:b/>
                <w:bCs/>
                <w:i/>
                <w:iCs/>
                <w:color w:val="000000"/>
              </w:rPr>
              <w:br/>
            </w:r>
            <w:r w:rsidRPr="005D2427">
              <w:rPr>
                <w:rFonts w:ascii="Times New Roman" w:eastAsia="Times New Roman" w:hAnsi="Times New Roman" w:cs="Times New Roman"/>
                <w:color w:val="000000"/>
              </w:rPr>
              <w:t>- Ủy ban về các vấn đề XH của Quốc hội (để giám sát);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w:t>
            </w:r>
            <w:r w:rsidRPr="005D2427">
              <w:rPr>
                <w:rFonts w:ascii="Times New Roman" w:eastAsia="Times New Roman" w:hAnsi="Times New Roman" w:cs="Times New Roman"/>
                <w:color w:val="000000"/>
              </w:rPr>
              <w:t>Ủy ban Quốc gia về CNTT;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Các Bộ, </w:t>
            </w:r>
            <w:r w:rsidRPr="005D2427">
              <w:rPr>
                <w:rFonts w:ascii="Times New Roman" w:eastAsia="Times New Roman" w:hAnsi="Times New Roman" w:cs="Times New Roman"/>
                <w:color w:val="000000"/>
              </w:rPr>
              <w:t>cơ </w:t>
            </w:r>
            <w:r w:rsidRPr="005D2427">
              <w:rPr>
                <w:rFonts w:ascii="Times New Roman" w:eastAsia="Times New Roman" w:hAnsi="Times New Roman" w:cs="Times New Roman"/>
                <w:color w:val="000000"/>
                <w:lang w:val="vi-VN"/>
              </w:rPr>
              <w:t>quan ngang Bộ, </w:t>
            </w:r>
            <w:r w:rsidRPr="005D2427">
              <w:rPr>
                <w:rFonts w:ascii="Times New Roman" w:eastAsia="Times New Roman" w:hAnsi="Times New Roman" w:cs="Times New Roman"/>
                <w:color w:val="000000"/>
              </w:rPr>
              <w:t>cơ quan </w:t>
            </w:r>
            <w:r w:rsidRPr="005D2427">
              <w:rPr>
                <w:rFonts w:ascii="Times New Roman" w:eastAsia="Times New Roman" w:hAnsi="Times New Roman" w:cs="Times New Roman"/>
                <w:color w:val="000000"/>
                <w:lang w:val="vi-VN"/>
              </w:rPr>
              <w:t>thuộc </w:t>
            </w:r>
            <w:r w:rsidRPr="005D2427">
              <w:rPr>
                <w:rFonts w:ascii="Times New Roman" w:eastAsia="Times New Roman" w:hAnsi="Times New Roman" w:cs="Times New Roman"/>
                <w:color w:val="000000"/>
              </w:rPr>
              <w:t>CP</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t>- UBND các tỉnh, thành phố trực thuộc TƯ;</w:t>
            </w:r>
            <w:r w:rsidRPr="005D2427">
              <w:rPr>
                <w:rFonts w:ascii="Times New Roman" w:eastAsia="Times New Roman" w:hAnsi="Times New Roman" w:cs="Times New Roman"/>
                <w:color w:val="000000"/>
              </w:rPr>
              <w:br/>
              <w:t>- Bộ trưởng và các Thứ trưởng BYT;</w:t>
            </w:r>
            <w:r w:rsidRPr="005D2427">
              <w:rPr>
                <w:rFonts w:ascii="Times New Roman" w:eastAsia="Times New Roman" w:hAnsi="Times New Roman" w:cs="Times New Roman"/>
                <w:color w:val="000000"/>
              </w:rPr>
              <w:br/>
              <w:t>- Phòng Công báo, Cổng TTĐT CP;</w:t>
            </w:r>
            <w:r w:rsidRPr="005D2427">
              <w:rPr>
                <w:rFonts w:ascii="Times New Roman" w:eastAsia="Times New Roman" w:hAnsi="Times New Roman" w:cs="Times New Roman"/>
                <w:color w:val="000000"/>
              </w:rPr>
              <w:br/>
              <w:t>- </w:t>
            </w:r>
            <w:r w:rsidRPr="005D2427">
              <w:rPr>
                <w:rFonts w:ascii="Times New Roman" w:eastAsia="Times New Roman" w:hAnsi="Times New Roman" w:cs="Times New Roman"/>
                <w:color w:val="000000"/>
                <w:lang w:val="vi-VN"/>
              </w:rPr>
              <w:t>Cục Kiểm tra văn bản </w:t>
            </w:r>
            <w:r w:rsidRPr="005D2427">
              <w:rPr>
                <w:rFonts w:ascii="Times New Roman" w:eastAsia="Times New Roman" w:hAnsi="Times New Roman" w:cs="Times New Roman"/>
                <w:color w:val="000000"/>
              </w:rPr>
              <w:t>QPPL, Bộ Tư pháp;</w:t>
            </w:r>
            <w:r w:rsidRPr="005D2427">
              <w:rPr>
                <w:rFonts w:ascii="Times New Roman" w:eastAsia="Times New Roman" w:hAnsi="Times New Roman" w:cs="Times New Roman"/>
                <w:color w:val="000000"/>
              </w:rPr>
              <w:br/>
              <w:t>- Các đơn vị thuộc và trực thuộc BYT;</w:t>
            </w:r>
            <w:r w:rsidRPr="005D2427">
              <w:rPr>
                <w:rFonts w:ascii="Times New Roman" w:eastAsia="Times New Roman" w:hAnsi="Times New Roman" w:cs="Times New Roman"/>
                <w:color w:val="000000"/>
              </w:rPr>
              <w:br/>
              <w:t>- Y tế các Bộ, ngành;</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S</w:t>
            </w:r>
            <w:r w:rsidRPr="005D2427">
              <w:rPr>
                <w:rFonts w:ascii="Times New Roman" w:eastAsia="Times New Roman" w:hAnsi="Times New Roman" w:cs="Times New Roman"/>
                <w:color w:val="000000"/>
              </w:rPr>
              <w:t>ở Y tế </w:t>
            </w:r>
            <w:r w:rsidRPr="005D2427">
              <w:rPr>
                <w:rFonts w:ascii="Times New Roman" w:eastAsia="Times New Roman" w:hAnsi="Times New Roman" w:cs="Times New Roman"/>
                <w:color w:val="000000"/>
                <w:lang w:val="vi-VN"/>
              </w:rPr>
              <w:t>tỉnh</w:t>
            </w:r>
            <w:r w:rsidRPr="005D2427">
              <w:rPr>
                <w:rFonts w:ascii="Times New Roman" w:eastAsia="Times New Roman" w:hAnsi="Times New Roman" w:cs="Times New Roman"/>
                <w:color w:val="000000"/>
              </w:rPr>
              <w:t>, </w:t>
            </w:r>
            <w:r w:rsidRPr="005D2427">
              <w:rPr>
                <w:rFonts w:ascii="Times New Roman" w:eastAsia="Times New Roman" w:hAnsi="Times New Roman" w:cs="Times New Roman"/>
                <w:color w:val="000000"/>
                <w:lang w:val="vi-VN"/>
              </w:rPr>
              <w:t>thành phố trực thuộc </w:t>
            </w:r>
            <w:r w:rsidRPr="005D2427">
              <w:rPr>
                <w:rFonts w:ascii="Times New Roman" w:eastAsia="Times New Roman" w:hAnsi="Times New Roman" w:cs="Times New Roman"/>
                <w:color w:val="000000"/>
              </w:rPr>
              <w:t>TƯ</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t>- C</w:t>
            </w:r>
            <w:r w:rsidRPr="005D2427">
              <w:rPr>
                <w:rFonts w:ascii="Times New Roman" w:eastAsia="Times New Roman" w:hAnsi="Times New Roman" w:cs="Times New Roman"/>
                <w:color w:val="000000"/>
                <w:lang w:val="vi-VN"/>
              </w:rPr>
              <w:t>ổng T</w:t>
            </w:r>
            <w:r w:rsidRPr="005D2427">
              <w:rPr>
                <w:rFonts w:ascii="Times New Roman" w:eastAsia="Times New Roman" w:hAnsi="Times New Roman" w:cs="Times New Roman"/>
                <w:color w:val="000000"/>
              </w:rPr>
              <w:t>hông tin điện tử BYT</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Lưu: VT, PC</w:t>
            </w:r>
            <w:r w:rsidRPr="005D2427">
              <w:rPr>
                <w:rFonts w:ascii="Times New Roman" w:eastAsia="Times New Roman" w:hAnsi="Times New Roman" w:cs="Times New Roman"/>
                <w:color w:val="000000"/>
              </w:rPr>
              <w:t>,</w:t>
            </w:r>
            <w:r w:rsidRPr="005D2427">
              <w:rPr>
                <w:rFonts w:ascii="Times New Roman" w:eastAsia="Times New Roman" w:hAnsi="Times New Roman" w:cs="Times New Roman"/>
                <w:color w:val="000000"/>
                <w:lang w:val="vi-VN"/>
              </w:rPr>
              <w:t> CNTT</w:t>
            </w:r>
            <w:r w:rsidRPr="005D2427">
              <w:rPr>
                <w:rFonts w:ascii="Times New Roman" w:eastAsia="Times New Roman" w:hAnsi="Times New Roman" w:cs="Times New Roman"/>
                <w:color w:val="000000"/>
              </w:rPr>
              <w:t> (03b)</w:t>
            </w:r>
            <w:r w:rsidRPr="005D2427">
              <w:rPr>
                <w:rFonts w:ascii="Times New Roman" w:eastAsia="Times New Roman" w:hAnsi="Times New Roman" w:cs="Times New Roman"/>
                <w:color w:val="000000"/>
                <w:lang w:val="vi-VN"/>
              </w:rPr>
              <w:t>.</w:t>
            </w:r>
          </w:p>
        </w:tc>
        <w:tc>
          <w:tcPr>
            <w:tcW w:w="3686" w:type="dxa"/>
            <w:shd w:val="clear" w:color="auto" w:fill="FFFFFF"/>
            <w:tcMar>
              <w:top w:w="0" w:type="dxa"/>
              <w:left w:w="108" w:type="dxa"/>
              <w:bottom w:w="0" w:type="dxa"/>
              <w:right w:w="108"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KT.</w:t>
            </w:r>
            <w:r w:rsidRPr="005D2427">
              <w:rPr>
                <w:rFonts w:ascii="Times New Roman" w:eastAsia="Times New Roman" w:hAnsi="Times New Roman" w:cs="Times New Roman"/>
                <w:b/>
                <w:bCs/>
                <w:color w:val="000000"/>
                <w:sz w:val="28"/>
                <w:szCs w:val="28"/>
                <w:lang w:val="vi-VN"/>
              </w:rPr>
              <w:t>BỘ TRƯỞNG</w:t>
            </w:r>
            <w:r w:rsidRPr="005D2427">
              <w:rPr>
                <w:rFonts w:ascii="Times New Roman" w:eastAsia="Times New Roman" w:hAnsi="Times New Roman" w:cs="Times New Roman"/>
                <w:b/>
                <w:bCs/>
                <w:color w:val="000000"/>
                <w:sz w:val="28"/>
                <w:szCs w:val="28"/>
              </w:rPr>
              <w:br/>
              <w:t>THỨ TRƯỞNG</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lang w:val="nl-NL"/>
              </w:rPr>
              <w:t>Lê Quang Cường</w:t>
            </w:r>
          </w:p>
        </w:tc>
      </w:tr>
    </w:tbl>
    <w:p w:rsidR="00274083" w:rsidRDefault="005D2427" w:rsidP="005D2427">
      <w:pPr>
        <w:shd w:val="clear" w:color="auto" w:fill="FFFFFF"/>
        <w:spacing w:after="120" w:line="234" w:lineRule="atLeast"/>
        <w:jc w:val="both"/>
        <w:rPr>
          <w:rFonts w:ascii="Times New Roman" w:eastAsia="Times New Roman" w:hAnsi="Times New Roman" w:cs="Times New Roman"/>
          <w:b/>
          <w:bCs/>
          <w:color w:val="000000"/>
          <w:sz w:val="28"/>
          <w:szCs w:val="28"/>
        </w:rPr>
      </w:pPr>
      <w:r w:rsidRPr="005D2427">
        <w:rPr>
          <w:rFonts w:ascii="Times New Roman" w:eastAsia="Times New Roman" w:hAnsi="Times New Roman" w:cs="Times New Roman"/>
          <w:b/>
          <w:bCs/>
          <w:color w:val="000000"/>
          <w:sz w:val="28"/>
          <w:szCs w:val="28"/>
        </w:rPr>
        <w:t> </w:t>
      </w:r>
    </w:p>
    <w:p w:rsidR="00274083" w:rsidRDefault="0027408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PHỤ LỤC 1</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BỘ TIÊU CHÍ VỀ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 Nhóm tiêu chí hạ tầng</w:t>
      </w:r>
    </w:p>
    <w:tbl>
      <w:tblPr>
        <w:tblStyle w:val="TableGrid"/>
        <w:tblW w:w="0" w:type="auto"/>
        <w:tblLook w:val="04A0" w:firstRow="1" w:lastRow="0" w:firstColumn="1" w:lastColumn="0" w:noHBand="0" w:noVBand="1"/>
      </w:tblPr>
      <w:tblGrid>
        <w:gridCol w:w="724"/>
        <w:gridCol w:w="6804"/>
        <w:gridCol w:w="1418"/>
      </w:tblGrid>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Trang bị máy tính tối thiểu phải đáp ứng triển khai ứng dụng công nghệ thông tin (CNTT)</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1</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Mạng nội bộ (LAN)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Đường truyền kết nối Internet</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Máy chủ chuyên dụng (máy chủ ứng dụng/máy chủ cơ sở dữ liệu - CSDL)</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2</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Phòng máy chủ (thiết bị phòng cháy, chữa cháy; thiết bị theo dõi nhiệt độ, độ ẩm; thiết bị kiểm soát người vào/ra)</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hệ thống (hệ điều hành, hệ quản trị CSDL) vẫn còn được hỗ trợ từ nhà sản xuất (ngoại trừ phần mềm mã nguồn mở)</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tường lửa</w:t>
            </w:r>
          </w:p>
        </w:tc>
        <w:tc>
          <w:tcPr>
            <w:tcW w:w="1418" w:type="dxa"/>
            <w:vMerge w:val="restart"/>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3</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lưu trữ (Máy chủ lưu trữ hoặc thiết bị lưu trữ ngoài)</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đọc mã vạch</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Máy in mã vạch</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lưu trữ (SAN hoặc NAS)</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4</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lấy số xếp hàng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Màn hình hiển thị (số xếp hàng)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Bảng thông báo điện tử (Thông báo bản tin bệnh viện, giá dịch vụ y tế,…)</w:t>
            </w:r>
          </w:p>
        </w:tc>
        <w:tc>
          <w:tcPr>
            <w:tcW w:w="1418"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5</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15</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di động (máy tính bảng, điện thoại thông minh), mạng LAN không dây (wireless)</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16</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Camera an ninh bệnh viện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17</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lưu trữ dự phòng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18</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Kios thông tin (cho phép bệnh nhân và người nhà tra cứu thông tin về bệnh viện, thông tin khám bệnh, chữa bệnh)</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19</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giám sát mạng bệnh viện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II. Nhóm tiêu chí phần mềm quản lý điều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chính - kế toán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sản, trang thiết bị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nhân lực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văn bản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Chỉ đạo tuyến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Trang thông tin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Thư điện tử nội bộ</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đào tạo</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nghiên cứu khoa học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chất lượng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III. Nhóm tiêu chí hệ thống thông tin bệnh viện (HIS)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 (Quản lý người dùng, quản lý cấu hình)</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1</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 dùng chung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Tiếp nhận đăng ký khám bệnh, chữa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khám bệnh, chữa bệnh ngoại trú</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dược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viện phí và thanh toán BHYT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với BHXH thanh quyết toán BHYT (tập tin XML)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 lâm sàng, cận lâm sàng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2</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cận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điều trị nội trú</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3</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phòng bệnh, giường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suất ăn cho bệnh nhân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khám sức khỏe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hàng đợi xếp hàng tự động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4</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hóa chất, vật tư tiêu hao và nhà thuốc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trang thiết bị y tế</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47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với PACS cơ bản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48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khoa/phòng cấp cứu</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5</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phòng mổ</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lịch hẹn điều trị, nhắc lịch hẹn tái khám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ngân hàng máu (nếu có)</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người bệnh bằng thẻ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tương tác thuốc/thuốc</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phác đồ điều trị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dinh dưỡng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Kê đơn, chỉ định, trả kết quả cận lâm sàng trên máy tính bảng, điện thoại thông minh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quy trình kỹ thuật chuyên môn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hồ sơ bệnh án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Ứng dụng nhận dạng giọng nói để hỗ trợ EMR</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Tìm kiếm và tra cứu thông tin (KIOS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Thanh toán viện phí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IV. Nhóm tiêu chí hệ thống lưu trữ và truyền tải hình ảnh (RIS-PACS)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quản lý máy chủ PACS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quản lý máy trạm PACS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sách bệnh nhân được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Giao diện kết nối (Interface) 2 chiều với các thiết bị chẩn đoán hình ảnh thông dụng (CT, MRI, X-quang, DSA, siêu âm)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Interface kết nối, liên thông với HIS:</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RIS nhận thông tin chỉ định từ HIS, RIS chuyển thông tin chỉ định vào máy chẩn đoán hình ảnh theo tiêu chuẩn HL7;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nhận hình bệnh lý đã được xử lý từ trạm xử lý (workstation) của bác sĩ;</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 PACS chuyển đổi hình bệnh lý từ định dạng DICOM sang định dạng JPEG và chuyển cho hệ thống RIS, RIS chuyển trả hình bệnh lý định dạng JPEG cho hệ thống HIS lưu trữ nhằm hoàn thiện hồ sơ bệnh án;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Liên thông hai chiều báo cáo chẩn đoán hình ảnh của bệnh nhân giữa PACS và HIS (tức là nếu có thay đổi bên PACS thì HIS cũng nhận được và ngược lại)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69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chẩn đoán hình ảnh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tiêu chuẩn HL7 bản tin, DICOM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đo lường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xử lý hình ảnh 2D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xử lý hình ảnh 3D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xuất hình ảnh DICOM ra đĩa CD/DVD cùng với phần mềm xem ảnh DICOM hoặc cung cấp đường dẫn truy cập hình ảnh trên web</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xuất 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biên tập và xử lý hình ảnh DICOM</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nén ảnh theo giải thuật JPEG2000</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xem ảnh DICOM qua WebView</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hội chẩn nhiều điểm cầu (multi-site) chẩn đoán hình ảnh qua mạng (hỗ trợ các thiết bị di động như điện thoại thông minh, máy tính bảng)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 Nhóm tiêu chí hệ thống thông tin xét nghiệm (LIS)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máy xét nghiệm (ra lệnh và nhận kết quả xét nghiệm tự động từ máy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mẫu xét nghiệm</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hóa chất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88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liên thông với phần mềm HIS (nhận chỉ định từ HIS và đồng bộ kết quả xét nghiệm với HIS)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89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lập thông số cảnh báo khi vượt ngưỡng bình thường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 Nhóm tiêu chí phi chức năng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2288"/>
        <w:gridCol w:w="4556"/>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90</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khả dụng</w:t>
            </w:r>
          </w:p>
        </w:tc>
        <w:tc>
          <w:tcPr>
            <w:tcW w:w="45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Dễ hiểu/dễ sử dụng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đơn giản trong cài đặt và quản lý</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Giao diện thân thiện phù hợp với quy trình nghiệp vụ hiện đang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91</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ổn định</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Dữ liệu đầu ra chính xác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gây trung bình dưới 10 lỗi/tháng trong 3 tháng vận hành đầu tiên. Dưới 10 lỗi/năm trong 3 năm vận hành tiếp theo và dưới 3 lỗi/năm trong các năm vận hành tiếp theo (lỗi gây dừng/tổn hại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trung bình giữa hai sự cố phải lớn hơn 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92</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Hiệu năng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đáp ứng 90% tổng số cán bộ online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xử lý chấp nhận được (tra cứu dữ liệu, kết xuất 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93</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hỗ trợ</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Tổ chức tập huấn người dùng cuối sử dụng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Các hỗ trợ được phản hồi trong vòng tối đa 12 giờ làm việc.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94</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ghi nhận lỗi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(log) lại toàn bộ tác động của các người dùng trên hệ thống, lưu trữ tập trung trên máy chủ để làm cơ sở phân tích các lỗi hoặc quá trình tác động hệ thống khi cần thiết.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quy định ghi lại các lỗi và quá trình xử lý lỗi, đặc biệt các lỗi liên quan tới an toàn, bảo mật trong kiểm tra và thử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95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Bảo hành, bảo trì</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bảo hành hệ thống tối thiểu 12 tháng.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96</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Tài liệu hướng dẫn người sử dụng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các tài liệu người dùng: Tài liệu hướng dẫn sử dụng hệ thống, tài liệu mô tả nghiệp vụ các tính năng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các tài liệu quản trị vận hành hệ thống: Tài liệu hướng dẫn cài đặt hệ thống, tài liệu mã lỗi và xử lý sự cố, tài liệu hướng dẫn vận hành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Nhân lực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cán bộ chuyên trách CNTT hoặc tổ CNTT.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từ xa.</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99</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Công nghệ phát triển hệ thống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Sử dụng các hệ thống CSDL phổ biến, ưu tiên hệ thống CSDL có khả năng lưu trữ dữ liệu lớn.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Sử dụng các công nghệ, lập trình hướng dịch vụ tạo tính mềm dẻo, linh hoạt trong việc lựa chọn công nghệ, nền tảng hệ thống, nhà cung cấp và người sử dụng cho mô hình SOA; đồng thời tạo điều kiện thuận lợi cho việc bảo trì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module hóa</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được chia thành các phân hệ (module) xử lý độc lập. Có khả năng thêm mới/loại bỏ các module chức năng cụ thể một cách linh hoạt, không ảnh hưởng tới tính chính xác và hoạt động của hệ thống tổng thể nói chung.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khả dụng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Cho phép khai thác hệ thống từ xa qua trình duyệt Web (hỗ trợ các trình duyệt Web thông dụng như Chrome, IE, Mozilla Firefox,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102</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ổn định</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Lỗi chấp nhận là lỗi không gây tổn hại trầm trọng hệ thống và có thể phục hồi trong thời gian dưới 5 phút nhưng không được quá 10 lỗi/tháng khi triển khai.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Khi xảy ra các sự cố làm ngừng vận hành hệ thống, hệ thống phải đảm bảo phục hồi 70% trong vòng 1 giờ và 100% trong vòng 24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103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hỗ trợ</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được hỗ trợ 24/24.</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104</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Tiếp nhận, phản hồi, xử lý sự cố</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tiếp nhận và phản hồi khi có sự cố dưới 24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xử lý lỗi hệ thống dưới 48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hướng dẫn xử lý các lỗi dữ liệu dưới 72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105</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Hiệu năng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đảm bảo phục vụ 100% tổng số cán bộ online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truy cập thời gian thực. Các tác vụ thực hiện phản hồi trong thời gian dưới 10 giây</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106</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Độ tin cậy</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online 24/7</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chịu lỗi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phục hồi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kết nối, liên thông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chia sẻ dữ liệu với Cổng tiếp nhận dữ liệu hệ thống thông tin giám định BHYT.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kết nối, liên thông với các hệ thống thông tin khác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chia sẻ dữ liệu giữa các phần mềm HIS, LIS, PACS, EMR và các hệ thống thông tin y tế khác.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Áp dụng các tiêu chuẩn, hợp chuẩn theo quy định hiện hành</w:t>
            </w:r>
          </w:p>
        </w:tc>
        <w:tc>
          <w:tcPr>
            <w:tcW w:w="45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Áp dụng các tiêu chuẩn trong nước hoặc tiêu chuẩn quốc tế (tiêu chuẩn HL7, HL7 CDA, DICOM, ICD-10,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110</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 quyền</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thương mại hoặc nguồn mở</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bản quyền vẫn còn được nhà sản xuất hỗ trợ cập nhật các bản vá lỗi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111</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giám sát và cập nhật phần mềm</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đầy đủ các công cụ hỗ trợ vận hành, giám sát, cảnh báo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Toàn bộ các cảnh báo/lỗi/log được phân loại/lọc để dễ dàng theo dõi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hệ thống, tiến trình và tác động của người dùng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cập nhật phần mềm tự động khi có các phiên bản cập nhật phần mềm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112</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Nhân lực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Phòng CNTT (đáp ứng theo quy định của Thông tư số 53/2014/TT-BYT)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113</w:t>
            </w:r>
          </w:p>
        </w:tc>
        <w:tc>
          <w:tcPr>
            <w:tcW w:w="226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 trực tiếp</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 trực tuyến (duy trì 1 số điện thoại hỗ trợ 24/24 các vấn đề phát sinh)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VII. Nhóm tiêu chí bảo mật và an toàn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5"/>
        <w:gridCol w:w="2668"/>
        <w:gridCol w:w="4162"/>
        <w:gridCol w:w="1477"/>
      </w:tblGrid>
      <w:tr w:rsidR="005D2427" w:rsidRPr="005D2427" w:rsidTr="005D2427">
        <w:trPr>
          <w:tblHeade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5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09"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br w:type="textWrapping" w:clear="all"/>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114</w:t>
            </w:r>
          </w:p>
        </w:tc>
        <w:tc>
          <w:tcPr>
            <w:tcW w:w="2671"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người dùng truy cập hệ thống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xác thực</w:t>
            </w:r>
          </w:p>
        </w:tc>
        <w:tc>
          <w:tcPr>
            <w:tcW w:w="146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phiên đăng nhập</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Phân quyền người dùng</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dữ liệu đầu vào</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br w:type="textWrapping" w:clear="all"/>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dữ liệu đầu ra</w:t>
            </w:r>
          </w:p>
        </w:tc>
        <w:tc>
          <w:tcPr>
            <w:tcW w:w="14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ngoại lệ và ghi vết ứng dụng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115</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người dùng truy cập CSDL</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Phải thiết lập chính sách tài khoản và phân quyền an toàn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giới hạn truy cập từ địa chỉ IP hợp lệ và ghi vết cho hệ quản trị CSDL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116</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(log) toàn bộ tác động lên hệ thống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phải đảm bảo ghi vết các chức năng cập nhật dữ liệu vào hệ thống và các chức năng khai thác dữ liệu chính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có chức năng xem lịch sử tác động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117</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diệt virus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Cập nhật CSDL virus thường xuyên.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118</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kiểm soát chống sao chép dữ liệu</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Ngăn chặn các thiết bị vật lý lưu trữ sao chép dữ liệu (USB, ổ cứng di động)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Cài đặt phần mềm chống sao chép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119</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tường lửa chống xâm nhập từ xa</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tường lửa chuyên dụng phân tách giữa các vùng Internet, máy chủ ứng dụng và người dùng mạng nội bộ; ngăn chặn các xâm nhập trái phép.</w:t>
            </w:r>
          </w:p>
        </w:tc>
        <w:tc>
          <w:tcPr>
            <w:tcW w:w="14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120</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Quy định phổ biến và hướng dẫn định kỳ cách phòng ngừa virus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Quy định rà quét kiểm tra định kỳ phát hiện và phòng chống mã độc (malware) trên hệ thống dịch vụ</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121</w:t>
            </w:r>
          </w:p>
        </w:tc>
        <w:tc>
          <w:tcPr>
            <w:tcW w:w="2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sao lưu, phục hồi dữ liệu</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Xây dựng phương án sao lưu, dự phòng và khôi phục phù hợp, phải thực hiện sao lưu hàng ngày.</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122</w:t>
            </w:r>
          </w:p>
        </w:tc>
        <w:tc>
          <w:tcPr>
            <w:tcW w:w="267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Phương thức mã hóa dữ liệu/thông tin</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Các dữ liệu quan trọng, nhạy cảm có thể được mã hóa bằng các kỹ thuật tránh lấy cắp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quản lý được các bộ khóa giải mã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Người sử dụng giải mã được dữ liệu khi được cung cấp khóa giải mã</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123</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Phương thức mã hóa mật khẩu của người dùng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Mật khẩu của người dùng phải được mã hóa bằng các kỹ thuật salt, hash (MD5, SHA) tránh lấy cắp mật khẩu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124</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kịch bản phòng ngừa, khắc phục sự cố</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Xây dựng các bài kiểm tra, thử nghiệm mô phỏng các hình thức tấn công gây mất an toàn thông tin, từ đó đưa ra phương pháp phòng chống và khắc phục sự cố gây mất an toàn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125</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quy trình an toàn, an ninh thông tin</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Xây dựng quy trình, quy định đối với người dùng và đối với quản trị khi tiếp nhận và vận hành hệ thống </w:t>
            </w:r>
            <w:r w:rsidRPr="005D2427">
              <w:rPr>
                <w:rFonts w:ascii="Times New Roman" w:eastAsia="Times New Roman" w:hAnsi="Times New Roman" w:cs="Times New Roman"/>
                <w:color w:val="000000"/>
                <w:sz w:val="28"/>
                <w:szCs w:val="28"/>
              </w:rPr>
              <w:lastRenderedPageBreak/>
              <w:t>nhằm tăng cường tính an ninh cho hệ thống dịch vụ</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126</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chống tấn công, xâm nhập từ xa (DOS, DDOS)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lập cơ chế chống tấn công từ chối dịch vụ trên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127</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cảnh báo và chống tấn công có chủ đích đối với các hệ thống cung cấp dịch vụ qua Internet</w:t>
            </w:r>
          </w:p>
        </w:tc>
        <w:tc>
          <w:tcPr>
            <w:tcW w:w="4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128</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Tích hợp chữ ký số</w:t>
            </w:r>
          </w:p>
        </w:tc>
        <w:tc>
          <w:tcPr>
            <w:tcW w:w="4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VIII. Bệnh án điện tử (EMR)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64"/>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Cung cấp dịch vụ chăm sóc sức khỏe</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tiền sử của bệnh nhân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liệu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cận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điều trị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thuốc đã kê đơn cho người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Quản lý thông tin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bác sỹ, dược sỹ, nhân viên y tế</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nhân khẩu của bệnh nhân và việc đồng bộ thông tin nhân khẩu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việc kết nối, tương tác với các hệ thống thông tin khác trong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Quản lý hồ sơ bệnh án</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hồ sơ bệnh án theo thời gian quy định của Luật Khám bệnh, chữa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Đồng bộ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Lưu trữ và phục hồi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Quản lý hạ tầng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An ninh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142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tra, giám sát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143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 dùng chung nội bộ và tiêu chuẩn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nối, liên thông theo các tiêu chuẩn (kết xuất bệnh án điện tử theo tiêu chuẩn HL7 CDA, CCD)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các quy tắc nghiệp vụ thao tác trên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Sao lưu dự phòng và phục hồi CSDL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9645AF" w:rsidRDefault="005D2427" w:rsidP="005D2427">
      <w:pPr>
        <w:shd w:val="clear" w:color="auto" w:fill="FFFFFF"/>
        <w:spacing w:after="120" w:line="234" w:lineRule="atLeast"/>
        <w:jc w:val="both"/>
        <w:rPr>
          <w:rFonts w:ascii="Times New Roman" w:eastAsia="Times New Roman" w:hAnsi="Times New Roman" w:cs="Times New Roman"/>
          <w:b/>
          <w:bCs/>
          <w:color w:val="000000"/>
          <w:sz w:val="28"/>
          <w:szCs w:val="28"/>
        </w:rPr>
      </w:pPr>
      <w:r w:rsidRPr="005D2427">
        <w:rPr>
          <w:rFonts w:ascii="Times New Roman" w:eastAsia="Times New Roman" w:hAnsi="Times New Roman" w:cs="Times New Roman"/>
          <w:b/>
          <w:bCs/>
          <w:color w:val="000000"/>
          <w:sz w:val="28"/>
          <w:szCs w:val="28"/>
        </w:rPr>
        <w:t> </w:t>
      </w:r>
    </w:p>
    <w:p w:rsidR="009645AF" w:rsidRDefault="009645A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PHỤ LỤC II</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BẢNG TỔNG HỢP TIÊU CHÍ ĐÁNH GIÁ MỨC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BẢNG TỔNG HỢP TIÊU CHÍ</w:t>
      </w:r>
      <w:r w:rsidRPr="005D2427">
        <w:rPr>
          <w:rFonts w:ascii="Times New Roman" w:eastAsia="Times New Roman" w:hAnsi="Times New Roman" w:cs="Times New Roman"/>
          <w:b/>
          <w:bCs/>
          <w:color w:val="000000"/>
          <w:sz w:val="28"/>
          <w:szCs w:val="28"/>
        </w:rPr>
        <w:br/>
        <w:t>ĐÁNH GIÁ MỨC ỨNG DỤNG CÔNG NGHỆ THÔNG TIN</w:t>
      </w:r>
      <w:r w:rsidRPr="005D2427">
        <w:rPr>
          <w:rFonts w:ascii="Times New Roman" w:eastAsia="Times New Roman" w:hAnsi="Times New Roman" w:cs="Times New Roman"/>
          <w:b/>
          <w:bCs/>
          <w:color w:val="000000"/>
          <w:sz w:val="28"/>
          <w:szCs w:val="28"/>
        </w:rPr>
        <w:br/>
        <w:t>TẠI CƠ SỞ KHÁM BỆNH, CHỮA BỆNH</w:t>
      </w:r>
    </w:p>
    <w:tbl>
      <w:tblPr>
        <w:tblStyle w:val="TableGrid"/>
        <w:tblW w:w="0" w:type="auto"/>
        <w:tblLook w:val="04A0" w:firstRow="1" w:lastRow="0" w:firstColumn="1" w:lastColumn="0" w:noHBand="0" w:noVBand="1"/>
      </w:tblPr>
      <w:tblGrid>
        <w:gridCol w:w="768"/>
        <w:gridCol w:w="8294"/>
      </w:tblGrid>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1;</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1;</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Cho phép truy cập thông tin điện tử về người bệnh.</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các yêu cầu của mức 1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2;</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2;</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Xây dựng được kho dữ liệu lâm sàng (CDR) tập trung bao gồm danh mục dùng chung, dược, chỉ định và kết quả xét nghiệm (nếu có);</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Chia sẻ thông tin/dữ liệu (hiện tồn tại trong CDR) giữa các bên liên quan tham gia vào quá trình chăm sóc người bệnh.</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các yêu cầu của mức 2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3;</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3;</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LIS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điều hành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Tiêu chí phi chức năng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Bảo mật và an toàn thông tin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Hồ sơ điện tử bao gồm sinh hiệu (nhịp mạch, nhiệt độ, huyết áp), ghi chép của điều dưỡng, thông tin về thủ thuật/kỹ thuật/phẫu thuật của lần khám bệnh chữa bệnh lưu trữ tập trung tại CDR;</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Triệu chứng lâm sàng, kê đơn thuốc điện tử:</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Hệ thống hỗ trợ ra quyết định lâm sàng (CDSS) cấp độ 1 hỗ trợ việc kê đơn thuốc điện tử (đơn thuốc mới và kê lại đơn thuốc cũ);</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Tất cả thông tin thuốc đều sẵn sàng trên môi trường mạng hỗ trợ CDSS.</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4</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mức 3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4;</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4;</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LIS đáp ứng mức đầy đủ;</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đáp ứng cơ bản, cho phép các bác sỹ truy cập hình ảnh y khoa từ bên ngoài khoa chẩn đoán hình ảnh;</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Các bác sỹ chỉ định trên môi trường điện tử;</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toàn bộ chỉ định của dịch vụ bệnh nhân nội trú.</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mức 4 và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đáp ứng nâng cao, thay thế tất cả phim.</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 (bệnh viện thông minh) gồm các tiêu chí cụ thể sau:</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EMR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điều hành đáp ứng mức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Tiêu chí phi chức năng đáp ứng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Bảo mật và an toàn thông tin đáp ứng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cấp độ 2 hỗ trợ quy trình/phác đồ điều trị dựa trên bằng chứng (các cảnh báo duy trì sức khỏe, dược):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hỗ trợ kiểm tra tương tác thuốc/thuốc;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Bộ quy tắc kiểm tra và phát hiện xung đột ban đầu trong chỉ định hoặc kê toa thuốc.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Điện tử hóa tất cả các biểu mẫu ghi chép của bác sỹ, điều dưỡng với các biểu mẫu có cấu trúc bao gồm ghi chú diễn biến, tư vấn, danh sách các vấn đề, tóm tắt ra viện;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thuốc theo quy trình khép kín, sử dụng mã vạch (bar code) hoặc các công nghệ khác để định danh tự động (như RFID), cấp phát thuốc tại giường bệnh, sử dụng công nghệ định danh tự động chẳng hạn như quét mã vạch trên bao bì thuốc và mã vạch ID bệnh nhân.</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 (bệnh viện không sử dụng bệnh án giấy, nếu đáp ứng được các quy định của pháp luật có liên quan) gồm các tiêu chí cụ thể sau:</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 Hạ tầng đáp ứng mức 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EMR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cấp độ 3 cung cấp hướng dẫn cho tất cả các hoạt động của bác sỹ liên quan đến phác đồ và kết quả điều trị theo các biểu mẫu cảnh báo tùy chỉnh phù hợp;</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Áp dụng các mẫu phân tích dữ liệu đối với kho dữ liệu lâm sàng (CDR) để nâng cao chất lượng dịch vụ chăm sóc, sự an toàn của bệnh nhân và hiệu quả trong công tác chăm sóc sức khỏe;</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Thông tin lâm sàng luôn trong trạng thái sẵn sàng cho việc chia sẻ giữa các thực thể có thẩm quyền điều trị bệnh nhân thông qua các giao dịch điện tử tiêu chuẩn (HL7, HL7 CDA, CCD);</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Kết xuất tóm tắt dữ liệu liên tục của tất cả các dịch vụ trong bệnh viện (nội trú, ngoại trú, cấp cứu, phòng khám, …).</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 </w:t>
      </w:r>
    </w:p>
    <w:p w:rsidR="009645AF" w:rsidRDefault="009645A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PHỤ LỤC III</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MỨC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2"/>
        <w:gridCol w:w="5590"/>
      </w:tblGrid>
      <w:tr w:rsidR="005D2427" w:rsidRPr="005D2427" w:rsidTr="005D2427">
        <w:trPr>
          <w:tblCellSpacing w:w="0" w:type="dxa"/>
        </w:trPr>
        <w:tc>
          <w:tcPr>
            <w:tcW w:w="1900" w:type="pct"/>
            <w:shd w:val="clear" w:color="auto" w:fill="FFFFFF"/>
            <w:tcMar>
              <w:top w:w="0" w:type="dxa"/>
              <w:left w:w="115" w:type="dxa"/>
              <w:bottom w:w="0" w:type="dxa"/>
              <w:right w:w="115" w:type="dxa"/>
            </w:tcMar>
            <w:hideMark/>
          </w:tcPr>
          <w:p w:rsidR="005D2427" w:rsidRPr="005D2427" w:rsidRDefault="005D2427" w:rsidP="005D2427">
            <w:pPr>
              <w:spacing w:after="24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vertAlign w:val="superscript"/>
              </w:rPr>
              <w:t>[1]</w:t>
            </w: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lang w:val="vi-VN"/>
              </w:rPr>
              <w:br/>
            </w: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vertAlign w:val="superscript"/>
              </w:rPr>
              <w:t>[2]</w:t>
            </w:r>
            <w:r w:rsidRPr="005D2427">
              <w:rPr>
                <w:rFonts w:ascii="Times New Roman" w:eastAsia="Times New Roman" w:hAnsi="Times New Roman" w:cs="Times New Roman"/>
                <w:color w:val="000000"/>
                <w:sz w:val="28"/>
                <w:szCs w:val="28"/>
              </w:rPr>
              <w:t>..........</w:t>
            </w:r>
          </w:p>
        </w:tc>
        <w:tc>
          <w:tcPr>
            <w:tcW w:w="3050" w:type="pct"/>
            <w:shd w:val="clear" w:color="auto" w:fill="FFFFFF"/>
            <w:tcMar>
              <w:top w:w="0" w:type="dxa"/>
              <w:left w:w="115" w:type="dxa"/>
              <w:bottom w:w="0" w:type="dxa"/>
              <w:right w:w="115" w:type="dxa"/>
            </w:tcMar>
            <w:hideMark/>
          </w:tcPr>
          <w:p w:rsidR="005D2427" w:rsidRPr="005D2427" w:rsidRDefault="005D2427" w:rsidP="005D2427">
            <w:pPr>
              <w:spacing w:after="24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CỘNG HÒA XÃ HỘI CHỦ NGHĨA VIỆT NAM</w:t>
            </w:r>
            <w:r w:rsidRPr="005D2427">
              <w:rPr>
                <w:rFonts w:ascii="Times New Roman" w:eastAsia="Times New Roman" w:hAnsi="Times New Roman" w:cs="Times New Roman"/>
                <w:color w:val="000000"/>
                <w:sz w:val="28"/>
                <w:szCs w:val="28"/>
                <w:lang w:val="vi-VN"/>
              </w:rPr>
              <w:br/>
            </w:r>
            <w:r w:rsidRPr="005D2427">
              <w:rPr>
                <w:rFonts w:ascii="Times New Roman" w:eastAsia="Times New Roman" w:hAnsi="Times New Roman" w:cs="Times New Roman"/>
                <w:b/>
                <w:bCs/>
                <w:color w:val="000000"/>
                <w:sz w:val="28"/>
                <w:szCs w:val="28"/>
              </w:rPr>
              <w:t>Độc lập - Tự do - Hạnh phúc</w:t>
            </w:r>
          </w:p>
        </w:tc>
      </w:tr>
      <w:tr w:rsidR="005D2427" w:rsidRPr="005D2427" w:rsidTr="005D2427">
        <w:trPr>
          <w:tblCellSpacing w:w="0" w:type="dxa"/>
        </w:trPr>
        <w:tc>
          <w:tcPr>
            <w:tcW w:w="190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Số:</w:t>
            </w:r>
            <w:r w:rsidRPr="005D2427">
              <w:rPr>
                <w:rFonts w:ascii="Times New Roman" w:eastAsia="Times New Roman" w:hAnsi="Times New Roman" w:cs="Times New Roman"/>
                <w:color w:val="000000"/>
                <w:sz w:val="28"/>
                <w:szCs w:val="28"/>
              </w:rPr>
              <w:t>      </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vertAlign w:val="superscript"/>
                <w:lang w:val="vi-VN"/>
              </w:rPr>
              <w:t>[3]</w:t>
            </w:r>
            <w:r w:rsidRPr="005D2427">
              <w:rPr>
                <w:rFonts w:ascii="Times New Roman" w:eastAsia="Times New Roman" w:hAnsi="Times New Roman" w:cs="Times New Roman"/>
                <w:color w:val="000000"/>
                <w:sz w:val="28"/>
                <w:szCs w:val="28"/>
                <w:lang w:val="vi-VN"/>
              </w:rPr>
              <w:t>…</w:t>
            </w:r>
          </w:p>
        </w:tc>
        <w:tc>
          <w:tcPr>
            <w:tcW w:w="305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w:t>
            </w:r>
            <w:r w:rsidRPr="005D2427">
              <w:rPr>
                <w:rFonts w:ascii="Times New Roman" w:eastAsia="Times New Roman" w:hAnsi="Times New Roman" w:cs="Times New Roman"/>
                <w:i/>
                <w:iCs/>
                <w:color w:val="000000"/>
                <w:sz w:val="28"/>
                <w:szCs w:val="28"/>
                <w:vertAlign w:val="superscript"/>
              </w:rPr>
              <w:t>[4]</w:t>
            </w:r>
            <w:r w:rsidRPr="005D2427">
              <w:rPr>
                <w:rFonts w:ascii="Times New Roman" w:eastAsia="Times New Roman" w:hAnsi="Times New Roman" w:cs="Times New Roman"/>
                <w:i/>
                <w:iCs/>
                <w:color w:val="000000"/>
                <w:sz w:val="28"/>
                <w:szCs w:val="28"/>
              </w:rPr>
              <w:t>……., ngày …… tháng …… năm 20……</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BÁO CÁO</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Kính gửi:………………</w:t>
      </w:r>
      <w:r w:rsidRPr="005D2427">
        <w:rPr>
          <w:rFonts w:ascii="Times New Roman" w:eastAsia="Times New Roman" w:hAnsi="Times New Roman" w:cs="Times New Roman"/>
          <w:color w:val="000000"/>
          <w:sz w:val="28"/>
          <w:szCs w:val="28"/>
        </w:rPr>
        <w:t>[1]</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Tên cơ sở</w:t>
      </w:r>
      <w:r w:rsidRPr="005D2427">
        <w:rPr>
          <w:rFonts w:ascii="Times New Roman" w:eastAsia="Times New Roman" w:hAnsi="Times New Roman" w:cs="Times New Roman"/>
          <w:color w:val="000000"/>
          <w:sz w:val="28"/>
          <w:szCs w:val="28"/>
        </w:rPr>
        <w:t> KBCB</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 [2]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Địa chỉ: [5]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Người đứng đầu cơ sở</w:t>
      </w:r>
      <w:r w:rsidRPr="005D2427">
        <w:rPr>
          <w:rFonts w:ascii="Times New Roman" w:eastAsia="Times New Roman" w:hAnsi="Times New Roman" w:cs="Times New Roman"/>
          <w:color w:val="000000"/>
          <w:sz w:val="28"/>
          <w:szCs w:val="28"/>
        </w:rPr>
        <w:t> 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Điện thoại liên hệ: </w:t>
      </w:r>
      <w:r w:rsidRPr="005D2427">
        <w:rPr>
          <w:rFonts w:ascii="Times New Roman" w:eastAsia="Times New Roman" w:hAnsi="Times New Roman" w:cs="Times New Roman"/>
          <w:color w:val="000000"/>
          <w:sz w:val="28"/>
          <w:szCs w:val="28"/>
        </w:rPr>
        <w:t>................................................................. </w:t>
      </w:r>
      <w:r w:rsidRPr="005D2427">
        <w:rPr>
          <w:rFonts w:ascii="Times New Roman" w:eastAsia="Times New Roman" w:hAnsi="Times New Roman" w:cs="Times New Roman"/>
          <w:color w:val="000000"/>
          <w:sz w:val="28"/>
          <w:szCs w:val="28"/>
          <w:lang w:val="vi-VN"/>
        </w:rPr>
        <w:t>Email: </w:t>
      </w:r>
      <w:r w:rsidRPr="005D2427">
        <w:rPr>
          <w:rFonts w:ascii="Times New Roman" w:eastAsia="Times New Roman" w:hAnsi="Times New Roman" w:cs="Times New Roman"/>
          <w:color w:val="000000"/>
          <w:sz w:val="28"/>
          <w:szCs w:val="28"/>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Căn cứ quy định tại </w:t>
      </w:r>
      <w:r w:rsidRPr="005D2427">
        <w:rPr>
          <w:rFonts w:ascii="Times New Roman" w:eastAsia="Times New Roman" w:hAnsi="Times New Roman" w:cs="Times New Roman"/>
          <w:color w:val="000000"/>
          <w:sz w:val="28"/>
          <w:szCs w:val="28"/>
        </w:rPr>
        <w:t>Thông tư…/2017/TT-BYT ngày…tháng…năm 2017 của Bộ Y tế về Ban hành Bộ tiêu chí về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đạt mức</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[6]</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về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báo cáo với …[1]… để tổng hợp, theo dõi kiểm tra và đăng tải thông tin theo quy định./.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1"/>
        <w:gridCol w:w="4581"/>
      </w:tblGrid>
      <w:tr w:rsidR="005D2427" w:rsidRPr="005D2427" w:rsidTr="005D2427">
        <w:trPr>
          <w:tblCellSpacing w:w="0" w:type="dxa"/>
        </w:trPr>
        <w:tc>
          <w:tcPr>
            <w:tcW w:w="245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rPr>
                <w:rFonts w:ascii="Times New Roman" w:eastAsia="Times New Roman" w:hAnsi="Times New Roman" w:cs="Times New Roman"/>
                <w:color w:val="000000"/>
              </w:rPr>
            </w:pPr>
            <w:r w:rsidRPr="005D2427">
              <w:rPr>
                <w:rFonts w:ascii="Times New Roman" w:eastAsia="Times New Roman" w:hAnsi="Times New Roman" w:cs="Times New Roman"/>
                <w:b/>
                <w:bCs/>
                <w:i/>
                <w:iCs/>
                <w:color w:val="000000"/>
              </w:rPr>
              <w:t>Nơi nhận:</w:t>
            </w:r>
            <w:r w:rsidRPr="005D2427">
              <w:rPr>
                <w:rFonts w:ascii="Times New Roman" w:eastAsia="Times New Roman" w:hAnsi="Times New Roman" w:cs="Times New Roman"/>
                <w:b/>
                <w:bCs/>
                <w:color w:val="000000"/>
              </w:rPr>
              <w:br/>
            </w:r>
            <w:r w:rsidRPr="005D2427">
              <w:rPr>
                <w:rFonts w:ascii="Times New Roman" w:eastAsia="Times New Roman" w:hAnsi="Times New Roman" w:cs="Times New Roman"/>
                <w:color w:val="000000"/>
              </w:rPr>
              <w:t>- Như trên;</w:t>
            </w:r>
            <w:r w:rsidRPr="005D2427">
              <w:rPr>
                <w:rFonts w:ascii="Times New Roman" w:eastAsia="Times New Roman" w:hAnsi="Times New Roman" w:cs="Times New Roman"/>
                <w:color w:val="000000"/>
              </w:rPr>
              <w:br/>
              <w:t>- Cục CNTT (để b/c);</w:t>
            </w:r>
            <w:r w:rsidRPr="005D2427">
              <w:rPr>
                <w:rFonts w:ascii="Times New Roman" w:eastAsia="Times New Roman" w:hAnsi="Times New Roman" w:cs="Times New Roman"/>
                <w:color w:val="000000"/>
              </w:rPr>
              <w:br/>
              <w:t>- Lưu: VT, CNTT.</w:t>
            </w:r>
          </w:p>
        </w:tc>
        <w:tc>
          <w:tcPr>
            <w:tcW w:w="250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lang w:val="vi-VN"/>
              </w:rPr>
              <w:t>Thủ trưởng đơn vị</w:t>
            </w:r>
            <w:r w:rsidRPr="005D2427">
              <w:rPr>
                <w:rFonts w:ascii="Times New Roman" w:eastAsia="Times New Roman" w:hAnsi="Times New Roman" w:cs="Times New Roman"/>
                <w:b/>
                <w:bCs/>
                <w:color w:val="000000"/>
                <w:sz w:val="28"/>
                <w:szCs w:val="28"/>
                <w:lang w:val="vi-VN"/>
              </w:rPr>
              <w:br/>
            </w:r>
            <w:r w:rsidRPr="005D2427">
              <w:rPr>
                <w:rFonts w:ascii="Times New Roman" w:eastAsia="Times New Roman" w:hAnsi="Times New Roman" w:cs="Times New Roman"/>
                <w:i/>
                <w:iCs/>
                <w:color w:val="000000"/>
                <w:sz w:val="28"/>
                <w:szCs w:val="28"/>
                <w:lang w:val="vi-VN"/>
              </w:rPr>
              <w:t>(Ký tên đóng dấu)</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______________</w:t>
      </w:r>
      <w:r w:rsidRPr="005D2427">
        <w:rPr>
          <w:rFonts w:ascii="Times New Roman" w:eastAsia="Times New Roman" w:hAnsi="Times New Roman" w:cs="Times New Roman"/>
          <w:color w:val="000000"/>
          <w:sz w:val="28"/>
          <w:szCs w:val="28"/>
        </w:rPr>
        <w:t>______</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1</w:t>
      </w:r>
      <w:r w:rsidRPr="005D2427">
        <w:rPr>
          <w:rFonts w:ascii="Times New Roman" w:eastAsia="Times New Roman" w:hAnsi="Times New Roman" w:cs="Times New Roman"/>
          <w:color w:val="000000"/>
          <w:sz w:val="28"/>
          <w:szCs w:val="28"/>
          <w:lang w:val="vi-VN"/>
        </w:rPr>
        <w:t> Tên cơ quan chủ quản của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2</w:t>
      </w:r>
      <w:r w:rsidRPr="005D2427">
        <w:rPr>
          <w:rFonts w:ascii="Times New Roman" w:eastAsia="Times New Roman" w:hAnsi="Times New Roman" w:cs="Times New Roman"/>
          <w:color w:val="000000"/>
          <w:sz w:val="28"/>
          <w:szCs w:val="28"/>
          <w:lang w:val="vi-VN"/>
        </w:rPr>
        <w:t> Tên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3</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rPr>
        <w:t>Ký hiệu văn bản</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lastRenderedPageBreak/>
        <w:t>4</w:t>
      </w:r>
      <w:r w:rsidRPr="005D2427">
        <w:rPr>
          <w:rFonts w:ascii="Times New Roman" w:eastAsia="Times New Roman" w:hAnsi="Times New Roman" w:cs="Times New Roman"/>
          <w:color w:val="000000"/>
          <w:sz w:val="28"/>
          <w:szCs w:val="28"/>
          <w:lang w:val="vi-VN"/>
        </w:rPr>
        <w:t> Địa danh </w:t>
      </w:r>
      <w:r w:rsidRPr="005D2427">
        <w:rPr>
          <w:rFonts w:ascii="Times New Roman" w:eastAsia="Times New Roman" w:hAnsi="Times New Roman" w:cs="Times New Roman"/>
          <w:color w:val="000000"/>
          <w:sz w:val="28"/>
          <w:szCs w:val="28"/>
        </w:rPr>
        <w:t>tỉnh/thành phố trực thuộc trung ương</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5 </w:t>
      </w:r>
      <w:r w:rsidRPr="005D2427">
        <w:rPr>
          <w:rFonts w:ascii="Times New Roman" w:eastAsia="Times New Roman" w:hAnsi="Times New Roman" w:cs="Times New Roman"/>
          <w:color w:val="000000"/>
          <w:sz w:val="28"/>
          <w:szCs w:val="28"/>
          <w:lang w:val="vi-VN"/>
        </w:rPr>
        <w:t>Địa chỉ cụ thể của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6</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rPr>
        <w:t>Mức UDCNTT.</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 </w:t>
      </w:r>
    </w:p>
    <w:p w:rsidR="00955170" w:rsidRPr="005D2427" w:rsidRDefault="00955170" w:rsidP="005D2427">
      <w:pPr>
        <w:jc w:val="both"/>
        <w:rPr>
          <w:rFonts w:ascii="Times New Roman" w:hAnsi="Times New Roman" w:cs="Times New Roman"/>
          <w:sz w:val="28"/>
          <w:szCs w:val="28"/>
        </w:rPr>
      </w:pPr>
    </w:p>
    <w:sectPr w:rsidR="00955170" w:rsidRPr="005D2427" w:rsidSect="00E252E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27"/>
    <w:rsid w:val="00274083"/>
    <w:rsid w:val="005D2427"/>
    <w:rsid w:val="00955170"/>
    <w:rsid w:val="009645AF"/>
    <w:rsid w:val="00C43A4F"/>
    <w:rsid w:val="00CB10B7"/>
    <w:rsid w:val="00DB3B4B"/>
    <w:rsid w:val="00E2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E3878-3B3E-415E-8074-DAA63559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427"/>
    <w:rPr>
      <w:color w:val="0000FF"/>
      <w:u w:val="single"/>
    </w:rPr>
  </w:style>
  <w:style w:type="character" w:styleId="FollowedHyperlink">
    <w:name w:val="FollowedHyperlink"/>
    <w:basedOn w:val="DefaultParagraphFont"/>
    <w:uiPriority w:val="99"/>
    <w:semiHidden/>
    <w:unhideWhenUsed/>
    <w:rsid w:val="005D2427"/>
    <w:rPr>
      <w:color w:val="800080"/>
      <w:u w:val="single"/>
    </w:rPr>
  </w:style>
  <w:style w:type="table" w:styleId="TableGrid">
    <w:name w:val="Table Grid"/>
    <w:basedOn w:val="TableNormal"/>
    <w:uiPriority w:val="59"/>
    <w:rsid w:val="00CB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75/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2020-08-27T06:58:00Z</dcterms:created>
  <dcterms:modified xsi:type="dcterms:W3CDTF">2020-08-27T06:58:00Z</dcterms:modified>
</cp:coreProperties>
</file>