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83" w:rsidRPr="00AD554C" w:rsidRDefault="00C77483" w:rsidP="00C03F4D">
      <w:r w:rsidRPr="00AD554C">
        <w:t xml:space="preserve">UBND TỈNH THỪA THIÊN HUẾ      </w:t>
      </w:r>
      <w:r>
        <w:t xml:space="preserve">        </w:t>
      </w:r>
      <w:r w:rsidRPr="00AD554C">
        <w:rPr>
          <w:b/>
          <w:bCs/>
        </w:rPr>
        <w:t>CỘNG HOÀ XÃ HỘI CHỦ NGHĨA VIỆT NAM</w:t>
      </w:r>
    </w:p>
    <w:p w:rsidR="00C77483" w:rsidRPr="00B141E6" w:rsidRDefault="00C77483" w:rsidP="00C03F4D">
      <w:pPr>
        <w:rPr>
          <w:b/>
          <w:bCs/>
          <w:sz w:val="26"/>
          <w:szCs w:val="26"/>
        </w:rPr>
      </w:pPr>
      <w:r>
        <w:rPr>
          <w:noProof/>
        </w:rPr>
        <w:pict>
          <v:shapetype id="_x0000_t32" coordsize="21600,21600" o:spt="32" o:oned="t" path="m,l21600,21600e" filled="f">
            <v:path arrowok="t" fillok="f" o:connecttype="none"/>
            <o:lock v:ext="edit" shapetype="t"/>
          </v:shapetype>
          <v:shape id="AutoShape 14" o:spid="_x0000_s1026" type="#_x0000_t32" style="position:absolute;margin-left:281.15pt;margin-top:15.1pt;width:114.55pt;height:0;z-index:251658240;visibility:visible"/>
        </w:pict>
      </w:r>
      <w:r w:rsidRPr="00B141E6">
        <w:rPr>
          <w:b/>
          <w:bCs/>
          <w:sz w:val="26"/>
          <w:szCs w:val="26"/>
        </w:rPr>
        <w:t xml:space="preserve">                 </w:t>
      </w:r>
      <w:r>
        <w:rPr>
          <w:b/>
          <w:bCs/>
          <w:sz w:val="26"/>
          <w:szCs w:val="26"/>
        </w:rPr>
        <w:t xml:space="preserve">SỞ Y TẾ               </w:t>
      </w:r>
      <w:r w:rsidRPr="00B141E6">
        <w:rPr>
          <w:b/>
          <w:bCs/>
          <w:sz w:val="26"/>
          <w:szCs w:val="26"/>
        </w:rPr>
        <w:t xml:space="preserve">            </w:t>
      </w:r>
      <w:r>
        <w:rPr>
          <w:b/>
          <w:bCs/>
          <w:sz w:val="26"/>
          <w:szCs w:val="26"/>
        </w:rPr>
        <w:t xml:space="preserve">                   </w:t>
      </w:r>
      <w:r w:rsidRPr="00B141E6">
        <w:rPr>
          <w:b/>
          <w:bCs/>
          <w:sz w:val="26"/>
          <w:szCs w:val="26"/>
        </w:rPr>
        <w:t xml:space="preserve"> </w:t>
      </w:r>
      <w:r w:rsidRPr="006C7685">
        <w:rPr>
          <w:b/>
          <w:bCs/>
          <w:sz w:val="26"/>
          <w:szCs w:val="26"/>
        </w:rPr>
        <w:t>Độc lập - Tự do - Hạnh phúc</w:t>
      </w:r>
    </w:p>
    <w:p w:rsidR="00C77483" w:rsidRDefault="00C77483" w:rsidP="00282AE1">
      <w:pPr>
        <w:tabs>
          <w:tab w:val="left" w:pos="720"/>
          <w:tab w:val="left" w:pos="1440"/>
          <w:tab w:val="left" w:pos="2160"/>
          <w:tab w:val="left" w:pos="2880"/>
        </w:tabs>
        <w:rPr>
          <w:sz w:val="26"/>
          <w:szCs w:val="26"/>
        </w:rPr>
      </w:pPr>
      <w:r>
        <w:rPr>
          <w:noProof/>
        </w:rPr>
        <w:pict>
          <v:line id="Line 12" o:spid="_x0000_s1027" style="position:absolute;z-index:251657216;visibility:visible" from="67.9pt,-.8pt" to="96pt,-.8pt"/>
        </w:pict>
      </w:r>
      <w:r w:rsidRPr="00B141E6">
        <w:rPr>
          <w:sz w:val="26"/>
          <w:szCs w:val="26"/>
        </w:rPr>
        <w:t xml:space="preserve">       </w:t>
      </w:r>
    </w:p>
    <w:p w:rsidR="00C77483" w:rsidRDefault="00C77483" w:rsidP="005B157F">
      <w:pPr>
        <w:tabs>
          <w:tab w:val="left" w:pos="720"/>
          <w:tab w:val="left" w:pos="1440"/>
          <w:tab w:val="left" w:pos="2160"/>
          <w:tab w:val="left" w:pos="2880"/>
        </w:tabs>
        <w:rPr>
          <w:i/>
          <w:iCs/>
          <w:sz w:val="26"/>
          <w:szCs w:val="26"/>
        </w:rPr>
      </w:pPr>
      <w:r>
        <w:rPr>
          <w:sz w:val="26"/>
          <w:szCs w:val="26"/>
        </w:rPr>
        <w:t xml:space="preserve">        </w:t>
      </w:r>
      <w:r w:rsidRPr="00B141E6">
        <w:rPr>
          <w:sz w:val="26"/>
          <w:szCs w:val="26"/>
        </w:rPr>
        <w:t xml:space="preserve"> Số:</w:t>
      </w:r>
      <w:r>
        <w:rPr>
          <w:sz w:val="26"/>
          <w:szCs w:val="26"/>
        </w:rPr>
        <w:t xml:space="preserve"> 1032</w:t>
      </w:r>
      <w:r w:rsidRPr="00B141E6">
        <w:rPr>
          <w:sz w:val="26"/>
          <w:szCs w:val="26"/>
        </w:rPr>
        <w:t>/SYT</w:t>
      </w:r>
      <w:r>
        <w:rPr>
          <w:sz w:val="26"/>
          <w:szCs w:val="26"/>
        </w:rPr>
        <w:t>-NVD</w:t>
      </w:r>
      <w:r>
        <w:rPr>
          <w:sz w:val="26"/>
          <w:szCs w:val="26"/>
        </w:rPr>
        <w:tab/>
      </w:r>
      <w:r>
        <w:rPr>
          <w:sz w:val="26"/>
          <w:szCs w:val="26"/>
        </w:rPr>
        <w:tab/>
        <w:t xml:space="preserve">            </w:t>
      </w:r>
      <w:r w:rsidRPr="002549C7">
        <w:rPr>
          <w:i/>
          <w:iCs/>
          <w:sz w:val="26"/>
          <w:szCs w:val="26"/>
        </w:rPr>
        <w:t xml:space="preserve">Thừa Thiên Huế, ngày </w:t>
      </w:r>
      <w:r>
        <w:rPr>
          <w:i/>
          <w:iCs/>
          <w:sz w:val="26"/>
          <w:szCs w:val="26"/>
        </w:rPr>
        <w:t xml:space="preserve">12 </w:t>
      </w:r>
      <w:r w:rsidRPr="002549C7">
        <w:rPr>
          <w:i/>
          <w:iCs/>
          <w:sz w:val="26"/>
          <w:szCs w:val="26"/>
        </w:rPr>
        <w:t>tháng</w:t>
      </w:r>
      <w:r>
        <w:rPr>
          <w:i/>
          <w:iCs/>
          <w:sz w:val="26"/>
          <w:szCs w:val="26"/>
        </w:rPr>
        <w:t xml:space="preserve"> 5</w:t>
      </w:r>
      <w:r w:rsidRPr="00B141E6">
        <w:rPr>
          <w:i/>
          <w:iCs/>
          <w:sz w:val="26"/>
          <w:szCs w:val="26"/>
        </w:rPr>
        <w:t xml:space="preserve"> năm 20</w:t>
      </w:r>
      <w:r>
        <w:rPr>
          <w:i/>
          <w:iCs/>
          <w:sz w:val="26"/>
          <w:szCs w:val="26"/>
        </w:rPr>
        <w:t>17</w:t>
      </w:r>
    </w:p>
    <w:p w:rsidR="00C77483" w:rsidRPr="005B157F" w:rsidRDefault="00C77483" w:rsidP="005B157F">
      <w:pPr>
        <w:tabs>
          <w:tab w:val="left" w:pos="720"/>
          <w:tab w:val="left" w:pos="1440"/>
          <w:tab w:val="left" w:pos="2160"/>
          <w:tab w:val="left" w:pos="2880"/>
        </w:tabs>
        <w:ind w:hanging="142"/>
        <w:rPr>
          <w:i/>
          <w:iCs/>
          <w:sz w:val="26"/>
          <w:szCs w:val="26"/>
        </w:rPr>
      </w:pPr>
      <w:r>
        <w:t xml:space="preserve"> V</w:t>
      </w:r>
      <w:r w:rsidRPr="00236466">
        <w:t>/v đính chính hồ sơ mời thầu</w:t>
      </w:r>
      <w:r>
        <w:t xml:space="preserve"> gói số 7</w:t>
      </w:r>
      <w:r w:rsidRPr="00236466">
        <w:t xml:space="preserve"> </w:t>
      </w:r>
    </w:p>
    <w:p w:rsidR="00C77483" w:rsidRPr="00B141E6" w:rsidRDefault="00C77483" w:rsidP="00C03F4D">
      <w:pPr>
        <w:tabs>
          <w:tab w:val="left" w:pos="720"/>
          <w:tab w:val="left" w:pos="1440"/>
          <w:tab w:val="left" w:pos="2160"/>
          <w:tab w:val="left" w:pos="2880"/>
        </w:tabs>
        <w:rPr>
          <w:i/>
          <w:iCs/>
          <w:sz w:val="26"/>
          <w:szCs w:val="26"/>
        </w:rPr>
      </w:pPr>
      <w:r>
        <w:rPr>
          <w:sz w:val="26"/>
          <w:szCs w:val="26"/>
        </w:rPr>
        <w:t xml:space="preserve">      </w:t>
      </w:r>
      <w:r w:rsidRPr="00B141E6">
        <w:rPr>
          <w:b/>
          <w:bCs/>
          <w:sz w:val="26"/>
          <w:szCs w:val="26"/>
        </w:rPr>
        <w:tab/>
      </w:r>
      <w:r w:rsidRPr="00B141E6">
        <w:rPr>
          <w:b/>
          <w:bCs/>
          <w:sz w:val="26"/>
          <w:szCs w:val="26"/>
        </w:rPr>
        <w:tab/>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p>
    <w:p w:rsidR="00C77483" w:rsidRDefault="00C77483" w:rsidP="00030915">
      <w:pPr>
        <w:ind w:left="2160"/>
        <w:rPr>
          <w:sz w:val="26"/>
          <w:szCs w:val="26"/>
        </w:rPr>
      </w:pPr>
      <w:r w:rsidRPr="00B141E6">
        <w:rPr>
          <w:sz w:val="26"/>
          <w:szCs w:val="26"/>
        </w:rPr>
        <w:t xml:space="preserve"> </w:t>
      </w:r>
      <w:r>
        <w:rPr>
          <w:sz w:val="26"/>
          <w:szCs w:val="26"/>
        </w:rPr>
        <w:t xml:space="preserve">        </w:t>
      </w:r>
    </w:p>
    <w:p w:rsidR="00C77483" w:rsidRPr="005E0BD3" w:rsidRDefault="00C77483" w:rsidP="00C17E71">
      <w:pPr>
        <w:spacing w:before="20" w:afterLines="20"/>
        <w:ind w:left="2160"/>
        <w:rPr>
          <w:sz w:val="26"/>
          <w:szCs w:val="26"/>
        </w:rPr>
      </w:pPr>
      <w:r>
        <w:rPr>
          <w:sz w:val="26"/>
          <w:szCs w:val="26"/>
        </w:rPr>
        <w:t xml:space="preserve">     </w:t>
      </w:r>
      <w:r w:rsidRPr="00B141E6">
        <w:rPr>
          <w:sz w:val="26"/>
          <w:szCs w:val="26"/>
        </w:rPr>
        <w:t xml:space="preserve">  </w:t>
      </w:r>
      <w:r>
        <w:rPr>
          <w:sz w:val="26"/>
          <w:szCs w:val="26"/>
        </w:rPr>
        <w:t xml:space="preserve">   </w:t>
      </w:r>
      <w:r w:rsidRPr="00B141E6">
        <w:rPr>
          <w:sz w:val="26"/>
          <w:szCs w:val="26"/>
        </w:rPr>
        <w:t xml:space="preserve">    </w:t>
      </w:r>
      <w:r w:rsidRPr="002549C7">
        <w:rPr>
          <w:sz w:val="28"/>
          <w:szCs w:val="28"/>
        </w:rPr>
        <w:t>Kính gửi: Các nhà thầu.</w:t>
      </w:r>
    </w:p>
    <w:p w:rsidR="00C77483" w:rsidRDefault="00C77483" w:rsidP="00C17E71">
      <w:pPr>
        <w:spacing w:before="20" w:afterLines="20"/>
        <w:ind w:firstLine="720"/>
        <w:jc w:val="both"/>
        <w:rPr>
          <w:sz w:val="28"/>
          <w:szCs w:val="28"/>
        </w:rPr>
      </w:pPr>
    </w:p>
    <w:p w:rsidR="00C77483" w:rsidRPr="002549C7" w:rsidRDefault="00C77483" w:rsidP="00C17E71">
      <w:pPr>
        <w:spacing w:before="20" w:afterLines="20"/>
        <w:ind w:firstLine="720"/>
        <w:jc w:val="both"/>
        <w:rPr>
          <w:sz w:val="28"/>
          <w:szCs w:val="28"/>
        </w:rPr>
      </w:pPr>
      <w:r>
        <w:rPr>
          <w:sz w:val="28"/>
          <w:szCs w:val="28"/>
        </w:rPr>
        <w:t xml:space="preserve">Sở Y tế tỉnh Thừa Thiên Huế </w:t>
      </w:r>
      <w:r w:rsidRPr="002549C7">
        <w:rPr>
          <w:sz w:val="28"/>
          <w:szCs w:val="28"/>
        </w:rPr>
        <w:t xml:space="preserve">đã phát hành Hồ sơ mời thầu, </w:t>
      </w:r>
      <w:r>
        <w:rPr>
          <w:sz w:val="28"/>
          <w:szCs w:val="28"/>
        </w:rPr>
        <w:t>thuộc dự án mua sắm thuốc</w:t>
      </w:r>
      <w:r w:rsidRPr="002549C7">
        <w:rPr>
          <w:sz w:val="28"/>
          <w:szCs w:val="28"/>
        </w:rPr>
        <w:t xml:space="preserve"> </w:t>
      </w:r>
      <w:r>
        <w:rPr>
          <w:sz w:val="28"/>
          <w:szCs w:val="28"/>
        </w:rPr>
        <w:t xml:space="preserve">phục vụ khám chữa bệnh </w:t>
      </w:r>
      <w:r w:rsidRPr="002549C7">
        <w:rPr>
          <w:sz w:val="28"/>
          <w:szCs w:val="28"/>
        </w:rPr>
        <w:t xml:space="preserve">cho các </w:t>
      </w:r>
      <w:r>
        <w:rPr>
          <w:sz w:val="28"/>
          <w:szCs w:val="28"/>
        </w:rPr>
        <w:t xml:space="preserve">cơ sở y tế </w:t>
      </w:r>
      <w:r w:rsidRPr="002549C7">
        <w:rPr>
          <w:sz w:val="28"/>
          <w:szCs w:val="28"/>
        </w:rPr>
        <w:t>năm 201</w:t>
      </w:r>
      <w:r>
        <w:rPr>
          <w:sz w:val="28"/>
          <w:szCs w:val="28"/>
        </w:rPr>
        <w:t>7</w:t>
      </w:r>
      <w:r w:rsidRPr="002549C7">
        <w:rPr>
          <w:sz w:val="28"/>
          <w:szCs w:val="28"/>
        </w:rPr>
        <w:t>.</w:t>
      </w:r>
    </w:p>
    <w:p w:rsidR="00C77483" w:rsidRDefault="00C77483" w:rsidP="00C17E71">
      <w:pPr>
        <w:spacing w:before="20" w:afterLines="20"/>
        <w:ind w:firstLine="720"/>
        <w:jc w:val="both"/>
        <w:rPr>
          <w:sz w:val="28"/>
          <w:szCs w:val="28"/>
        </w:rPr>
      </w:pPr>
      <w:r>
        <w:rPr>
          <w:sz w:val="28"/>
          <w:szCs w:val="28"/>
        </w:rPr>
        <w:t>Tại H</w:t>
      </w:r>
      <w:r w:rsidRPr="002549C7">
        <w:rPr>
          <w:sz w:val="28"/>
          <w:szCs w:val="28"/>
        </w:rPr>
        <w:t>ồ s</w:t>
      </w:r>
      <w:r>
        <w:rPr>
          <w:sz w:val="28"/>
          <w:szCs w:val="28"/>
        </w:rPr>
        <w:t xml:space="preserve">ơ mời thầu gói thầu số 7, do có một số sai sót về kỹ thuật, xin đính chính cụ thể như sau: </w:t>
      </w:r>
    </w:p>
    <w:p w:rsidR="00C77483" w:rsidRDefault="00C77483" w:rsidP="00C17E71">
      <w:pPr>
        <w:spacing w:before="20" w:afterLines="20"/>
        <w:ind w:firstLine="720"/>
        <w:outlineLvl w:val="1"/>
        <w:rPr>
          <w:b/>
          <w:bCs/>
          <w:sz w:val="26"/>
          <w:szCs w:val="26"/>
        </w:rPr>
      </w:pPr>
      <w:r>
        <w:rPr>
          <w:b/>
          <w:bCs/>
          <w:sz w:val="26"/>
          <w:szCs w:val="26"/>
        </w:rPr>
        <w:t>1/ Tại Chương III-Mục 2:</w:t>
      </w:r>
    </w:p>
    <w:p w:rsidR="00C77483" w:rsidRDefault="00C77483" w:rsidP="00C17E71">
      <w:pPr>
        <w:spacing w:before="20" w:afterLines="20"/>
        <w:ind w:firstLine="720"/>
        <w:outlineLvl w:val="1"/>
        <w:rPr>
          <w:b/>
          <w:bCs/>
          <w:sz w:val="26"/>
          <w:szCs w:val="26"/>
        </w:rPr>
      </w:pPr>
      <w:r>
        <w:rPr>
          <w:b/>
          <w:bCs/>
          <w:sz w:val="26"/>
          <w:szCs w:val="26"/>
        </w:rPr>
        <w:t>Phần 2.1 T</w:t>
      </w:r>
      <w:r w:rsidRPr="00CD7280">
        <w:rPr>
          <w:b/>
          <w:bCs/>
          <w:sz w:val="26"/>
          <w:szCs w:val="26"/>
        </w:rPr>
        <w:t xml:space="preserve">iêu chuẩn đánh giá về </w:t>
      </w:r>
      <w:r>
        <w:rPr>
          <w:b/>
          <w:bCs/>
          <w:sz w:val="26"/>
          <w:szCs w:val="26"/>
        </w:rPr>
        <w:t>năng lực và kinh nghiệm:</w:t>
      </w:r>
    </w:p>
    <w:p w:rsidR="00C77483" w:rsidRDefault="00C77483" w:rsidP="00C17E71">
      <w:pPr>
        <w:spacing w:before="20" w:afterLines="20"/>
        <w:ind w:firstLine="720"/>
        <w:outlineLvl w:val="1"/>
        <w:rPr>
          <w:sz w:val="26"/>
          <w:szCs w:val="26"/>
          <w:lang w:val="nl-NL"/>
        </w:rPr>
      </w:pPr>
      <w:r>
        <w:rPr>
          <w:sz w:val="26"/>
          <w:szCs w:val="26"/>
          <w:lang w:val="nl-NL"/>
        </w:rPr>
        <w:t xml:space="preserve">1.3 </w:t>
      </w:r>
      <w:r w:rsidRPr="00906863">
        <w:rPr>
          <w:sz w:val="26"/>
          <w:szCs w:val="26"/>
          <w:lang w:val="nl-NL"/>
        </w:rPr>
        <w:t>Yêu cầu về ngu</w:t>
      </w:r>
      <w:r>
        <w:rPr>
          <w:sz w:val="26"/>
          <w:szCs w:val="26"/>
          <w:lang w:val="nl-NL"/>
        </w:rPr>
        <w:t xml:space="preserve">ồn lực tài chính cho gói thầu: </w:t>
      </w:r>
      <w:r w:rsidRPr="003A6131">
        <w:rPr>
          <w:i/>
          <w:iCs/>
          <w:sz w:val="26"/>
          <w:szCs w:val="26"/>
          <w:lang w:val="nl-NL"/>
        </w:rPr>
        <w:t>(Không có)</w:t>
      </w:r>
    </w:p>
    <w:p w:rsidR="00C77483" w:rsidRDefault="00C77483" w:rsidP="00C17E71">
      <w:pPr>
        <w:spacing w:before="20" w:afterLines="20"/>
        <w:ind w:firstLine="720"/>
        <w:outlineLvl w:val="1"/>
        <w:rPr>
          <w:i/>
          <w:iCs/>
          <w:sz w:val="26"/>
          <w:szCs w:val="26"/>
          <w:lang w:val="nl-NL"/>
        </w:rPr>
      </w:pPr>
      <w:r w:rsidRPr="00D1512E">
        <w:rPr>
          <w:b/>
          <w:bCs/>
          <w:i/>
          <w:iCs/>
          <w:sz w:val="26"/>
          <w:szCs w:val="26"/>
          <w:lang w:val="nl-NL"/>
        </w:rPr>
        <w:t>Nay được điều chỉnh bổ sung:</w:t>
      </w:r>
      <w:r>
        <w:rPr>
          <w:sz w:val="26"/>
          <w:szCs w:val="26"/>
          <w:lang w:val="nl-NL"/>
        </w:rPr>
        <w:t xml:space="preserve"> </w:t>
      </w:r>
      <w:r w:rsidRPr="00906863">
        <w:rPr>
          <w:i/>
          <w:iCs/>
          <w:sz w:val="26"/>
          <w:szCs w:val="26"/>
          <w:lang w:val="nl-NL"/>
        </w:rPr>
        <w:t>(Có phụ lục đính kèm)</w:t>
      </w:r>
    </w:p>
    <w:p w:rsidR="00C77483" w:rsidRPr="003A6131" w:rsidRDefault="00C77483" w:rsidP="00C17E71">
      <w:pPr>
        <w:spacing w:before="20" w:afterLines="20"/>
        <w:ind w:firstLine="720"/>
        <w:outlineLvl w:val="1"/>
        <w:rPr>
          <w:b/>
          <w:bCs/>
          <w:sz w:val="26"/>
          <w:szCs w:val="26"/>
          <w:lang w:val="nl-NL"/>
        </w:rPr>
      </w:pPr>
      <w:r w:rsidRPr="003A6131">
        <w:rPr>
          <w:b/>
          <w:bCs/>
          <w:sz w:val="26"/>
          <w:szCs w:val="26"/>
          <w:lang w:val="nl-NL"/>
        </w:rPr>
        <w:t>2/ Tại Mẫu số 8</w:t>
      </w:r>
      <w:r>
        <w:rPr>
          <w:b/>
          <w:bCs/>
          <w:sz w:val="26"/>
          <w:szCs w:val="26"/>
          <w:lang w:val="nl-NL"/>
        </w:rPr>
        <w:t>:</w:t>
      </w:r>
    </w:p>
    <w:p w:rsidR="00C77483" w:rsidRPr="00163F89" w:rsidRDefault="00C77483" w:rsidP="00C17E71">
      <w:pPr>
        <w:spacing w:before="20" w:afterLines="20"/>
        <w:ind w:firstLine="720"/>
        <w:jc w:val="both"/>
        <w:outlineLvl w:val="1"/>
        <w:rPr>
          <w:sz w:val="26"/>
          <w:szCs w:val="26"/>
          <w:lang w:val="nl-NL"/>
        </w:rPr>
      </w:pPr>
      <w:r w:rsidRPr="00163F89">
        <w:rPr>
          <w:sz w:val="26"/>
          <w:szCs w:val="26"/>
          <w:lang w:val="nl-NL"/>
        </w:rPr>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w:t>
      </w:r>
      <w:r w:rsidRPr="003A6131">
        <w:rPr>
          <w:i/>
          <w:iCs/>
          <w:sz w:val="26"/>
          <w:szCs w:val="26"/>
          <w:lang w:val="nl-NL"/>
        </w:rPr>
        <w:t>3.3 Mục 2.1</w:t>
      </w:r>
      <w:r w:rsidRPr="00163F89">
        <w:rPr>
          <w:sz w:val="26"/>
          <w:szCs w:val="26"/>
          <w:lang w:val="nl-NL"/>
        </w:rPr>
        <w:t xml:space="preserve"> Chương III – Tiêu chuẩn đánh giá HSDT.</w:t>
      </w:r>
    </w:p>
    <w:p w:rsidR="00C77483" w:rsidRDefault="00C77483" w:rsidP="00C17E71">
      <w:pPr>
        <w:spacing w:before="20" w:afterLines="20"/>
        <w:ind w:firstLine="720"/>
        <w:jc w:val="both"/>
        <w:outlineLvl w:val="1"/>
        <w:rPr>
          <w:sz w:val="26"/>
          <w:szCs w:val="26"/>
          <w:lang w:val="nl-NL"/>
        </w:rPr>
      </w:pPr>
      <w:r w:rsidRPr="00163F89">
        <w:rPr>
          <w:sz w:val="26"/>
          <w:szCs w:val="26"/>
          <w:lang w:val="nl-NL"/>
        </w:rPr>
        <w:t xml:space="preserve">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w:t>
      </w:r>
      <w:r w:rsidRPr="003A6131">
        <w:rPr>
          <w:i/>
          <w:iCs/>
          <w:sz w:val="26"/>
          <w:szCs w:val="26"/>
          <w:lang w:val="nl-NL"/>
        </w:rPr>
        <w:t>3.3 Mục 2.1</w:t>
      </w:r>
      <w:r w:rsidRPr="00163F89">
        <w:rPr>
          <w:sz w:val="26"/>
          <w:szCs w:val="26"/>
          <w:lang w:val="nl-NL"/>
        </w:rPr>
        <w:t xml:space="preserve">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C77483" w:rsidRPr="00D1512E" w:rsidRDefault="00C77483" w:rsidP="00C17E71">
      <w:pPr>
        <w:spacing w:before="20" w:afterLines="20"/>
        <w:ind w:firstLine="720"/>
        <w:jc w:val="both"/>
        <w:outlineLvl w:val="1"/>
        <w:rPr>
          <w:b/>
          <w:bCs/>
          <w:i/>
          <w:iCs/>
          <w:sz w:val="26"/>
          <w:szCs w:val="26"/>
          <w:lang w:val="nl-NL"/>
        </w:rPr>
      </w:pPr>
      <w:r w:rsidRPr="00D1512E">
        <w:rPr>
          <w:b/>
          <w:bCs/>
          <w:i/>
          <w:iCs/>
          <w:sz w:val="26"/>
          <w:szCs w:val="26"/>
          <w:lang w:val="nl-NL"/>
        </w:rPr>
        <w:t xml:space="preserve">Nay được điều chỉnh: </w:t>
      </w:r>
    </w:p>
    <w:p w:rsidR="00C77483" w:rsidRPr="00163F89" w:rsidRDefault="00C77483" w:rsidP="00C17E71">
      <w:pPr>
        <w:spacing w:before="20" w:afterLines="20"/>
        <w:ind w:firstLine="720"/>
        <w:jc w:val="both"/>
        <w:outlineLvl w:val="1"/>
        <w:rPr>
          <w:sz w:val="26"/>
          <w:szCs w:val="26"/>
          <w:lang w:val="nl-NL"/>
        </w:rPr>
      </w:pPr>
      <w:r>
        <w:rPr>
          <w:sz w:val="26"/>
          <w:szCs w:val="26"/>
          <w:lang w:val="nl-NL"/>
        </w:rPr>
        <w:t>“</w:t>
      </w:r>
      <w:r w:rsidRPr="00163F89">
        <w:rPr>
          <w:sz w:val="26"/>
          <w:szCs w:val="26"/>
          <w:lang w:val="nl-NL"/>
        </w:rPr>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w:t>
      </w:r>
      <w:r w:rsidRPr="00163F89">
        <w:rPr>
          <w:b/>
          <w:bCs/>
          <w:sz w:val="26"/>
          <w:szCs w:val="26"/>
          <w:lang w:val="nl-NL"/>
        </w:rPr>
        <w:t>1.3 Mục 2.1</w:t>
      </w:r>
      <w:r w:rsidRPr="00163F89">
        <w:rPr>
          <w:sz w:val="26"/>
          <w:szCs w:val="26"/>
          <w:lang w:val="nl-NL"/>
        </w:rPr>
        <w:t xml:space="preserve"> Chương III – Tiêu chuẩn đánh giá HSDT.</w:t>
      </w:r>
    </w:p>
    <w:p w:rsidR="00C77483" w:rsidRDefault="00C77483" w:rsidP="00C17E71">
      <w:pPr>
        <w:spacing w:before="20" w:afterLines="20"/>
        <w:ind w:firstLine="720"/>
        <w:jc w:val="both"/>
        <w:outlineLvl w:val="1"/>
        <w:rPr>
          <w:sz w:val="26"/>
          <w:szCs w:val="26"/>
          <w:lang w:val="nl-NL"/>
        </w:rPr>
      </w:pPr>
      <w:r w:rsidRPr="00163F89">
        <w:rPr>
          <w:sz w:val="26"/>
          <w:szCs w:val="26"/>
          <w:lang w:val="nl-NL"/>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w:t>
      </w:r>
      <w:r>
        <w:rPr>
          <w:sz w:val="26"/>
          <w:szCs w:val="26"/>
          <w:lang w:val="nl-NL"/>
        </w:rPr>
        <w:t xml:space="preserve">í đánh giá </w:t>
      </w:r>
      <w:r w:rsidRPr="00163F89">
        <w:rPr>
          <w:b/>
          <w:bCs/>
          <w:sz w:val="26"/>
          <w:szCs w:val="26"/>
          <w:lang w:val="nl-NL"/>
        </w:rPr>
        <w:t>1.3 Mục 2.1</w:t>
      </w:r>
      <w:r w:rsidRPr="00163F89">
        <w:rPr>
          <w:sz w:val="26"/>
          <w:szCs w:val="26"/>
          <w:lang w:val="nl-NL"/>
        </w:rPr>
        <w:t xml:space="preserve">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r>
        <w:rPr>
          <w:sz w:val="26"/>
          <w:szCs w:val="26"/>
          <w:lang w:val="nl-NL"/>
        </w:rPr>
        <w:t>”</w:t>
      </w:r>
    </w:p>
    <w:p w:rsidR="00C77483" w:rsidRPr="002549C7" w:rsidRDefault="00C77483" w:rsidP="00C17E71">
      <w:pPr>
        <w:spacing w:before="20" w:afterLines="20"/>
        <w:ind w:firstLine="720"/>
        <w:jc w:val="both"/>
        <w:rPr>
          <w:sz w:val="28"/>
          <w:szCs w:val="28"/>
        </w:rPr>
      </w:pPr>
      <w:r w:rsidRPr="002549C7">
        <w:rPr>
          <w:sz w:val="28"/>
          <w:szCs w:val="28"/>
        </w:rPr>
        <w:t xml:space="preserve">Vậy, </w:t>
      </w:r>
      <w:r>
        <w:rPr>
          <w:sz w:val="28"/>
          <w:szCs w:val="28"/>
        </w:rPr>
        <w:t>Sở Y tế tỉnh Thừa Thiên Huế</w:t>
      </w:r>
      <w:r w:rsidRPr="002549C7">
        <w:rPr>
          <w:sz w:val="28"/>
          <w:szCs w:val="28"/>
        </w:rPr>
        <w:t xml:space="preserve"> thông báo cho các nhà thầu được biết để kịp thời điều chỉnh trong quá trình làm hồ sơ dự thầu</w:t>
      </w:r>
      <w:r>
        <w:rPr>
          <w:sz w:val="28"/>
          <w:szCs w:val="28"/>
        </w:rPr>
        <w:t xml:space="preserve"> gói thầu số 7</w:t>
      </w:r>
      <w:r w:rsidRPr="002549C7">
        <w:rPr>
          <w:sz w:val="28"/>
          <w:szCs w:val="28"/>
        </w:rPr>
        <w:t>.</w:t>
      </w:r>
    </w:p>
    <w:p w:rsidR="00C77483" w:rsidRPr="002549C7" w:rsidRDefault="00C77483" w:rsidP="00C17E71">
      <w:pPr>
        <w:spacing w:before="20" w:afterLines="20"/>
        <w:ind w:firstLine="720"/>
        <w:jc w:val="both"/>
        <w:rPr>
          <w:sz w:val="28"/>
          <w:szCs w:val="28"/>
        </w:rPr>
      </w:pPr>
      <w:r w:rsidRPr="002549C7">
        <w:rPr>
          <w:sz w:val="28"/>
          <w:szCs w:val="28"/>
        </w:rPr>
        <w:t>Trân trọng cảm ơn.</w:t>
      </w:r>
      <w:r>
        <w:rPr>
          <w:sz w:val="28"/>
          <w:szCs w:val="28"/>
        </w:rPr>
        <w:t>/.</w:t>
      </w:r>
    </w:p>
    <w:p w:rsidR="00C77483" w:rsidRPr="00B141E6" w:rsidRDefault="00C77483" w:rsidP="005B157F">
      <w:pPr>
        <w:ind w:firstLine="720"/>
        <w:jc w:val="both"/>
        <w:rPr>
          <w:sz w:val="26"/>
          <w:szCs w:val="26"/>
        </w:rPr>
      </w:pPr>
    </w:p>
    <w:p w:rsidR="00C77483" w:rsidRDefault="00C77483" w:rsidP="00030915">
      <w:pPr>
        <w:jc w:val="both"/>
        <w:rPr>
          <w:b/>
          <w:bCs/>
          <w:sz w:val="26"/>
          <w:szCs w:val="26"/>
        </w:rPr>
      </w:pPr>
      <w:r w:rsidRPr="00436403">
        <w:rPr>
          <w:b/>
          <w:bCs/>
          <w:i/>
          <w:iCs/>
        </w:rPr>
        <w:t xml:space="preserve"> Nơi nhận: </w:t>
      </w:r>
      <w:r w:rsidRPr="00436403">
        <w:rPr>
          <w:b/>
          <w:bCs/>
          <w:i/>
          <w:iCs/>
        </w:rPr>
        <w:tab/>
      </w:r>
      <w:r w:rsidRPr="00B141E6">
        <w:rPr>
          <w:b/>
          <w:bCs/>
          <w:sz w:val="26"/>
          <w:szCs w:val="26"/>
        </w:rPr>
        <w:tab/>
      </w:r>
      <w:r w:rsidRPr="00B141E6">
        <w:rPr>
          <w:b/>
          <w:bCs/>
          <w:sz w:val="26"/>
          <w:szCs w:val="26"/>
        </w:rPr>
        <w:tab/>
      </w:r>
      <w:r w:rsidRPr="00B141E6">
        <w:rPr>
          <w:b/>
          <w:bCs/>
          <w:sz w:val="26"/>
          <w:szCs w:val="26"/>
        </w:rPr>
        <w:tab/>
      </w:r>
      <w:r w:rsidRPr="00B141E6">
        <w:rPr>
          <w:b/>
          <w:bCs/>
          <w:sz w:val="26"/>
          <w:szCs w:val="26"/>
        </w:rPr>
        <w:tab/>
      </w:r>
      <w:r w:rsidRPr="00B141E6">
        <w:rPr>
          <w:b/>
          <w:bCs/>
          <w:sz w:val="26"/>
          <w:szCs w:val="26"/>
        </w:rPr>
        <w:tab/>
      </w:r>
      <w:r w:rsidRPr="00B141E6">
        <w:rPr>
          <w:b/>
          <w:bCs/>
          <w:sz w:val="26"/>
          <w:szCs w:val="26"/>
        </w:rPr>
        <w:tab/>
        <w:t xml:space="preserve">     </w:t>
      </w:r>
      <w:r>
        <w:rPr>
          <w:b/>
          <w:bCs/>
          <w:sz w:val="26"/>
          <w:szCs w:val="26"/>
        </w:rPr>
        <w:t xml:space="preserve"> GIÁM ĐỐC</w:t>
      </w:r>
    </w:p>
    <w:p w:rsidR="00C77483" w:rsidRPr="005E0BD3" w:rsidRDefault="00C77483" w:rsidP="00030915">
      <w:pPr>
        <w:jc w:val="both"/>
        <w:rPr>
          <w:sz w:val="28"/>
          <w:szCs w:val="28"/>
        </w:rPr>
      </w:pPr>
      <w:r w:rsidRPr="00436403">
        <w:rPr>
          <w:sz w:val="22"/>
          <w:szCs w:val="22"/>
        </w:rPr>
        <w:t>- Như trên;</w:t>
      </w:r>
      <w:r>
        <w:rPr>
          <w:sz w:val="22"/>
          <w:szCs w:val="22"/>
        </w:rPr>
        <w:t xml:space="preserve">                                                                                       </w:t>
      </w:r>
    </w:p>
    <w:p w:rsidR="00C77483" w:rsidRPr="00436403" w:rsidRDefault="00C77483" w:rsidP="00030915">
      <w:pPr>
        <w:tabs>
          <w:tab w:val="left" w:pos="6480"/>
        </w:tabs>
        <w:jc w:val="both"/>
        <w:rPr>
          <w:sz w:val="22"/>
          <w:szCs w:val="22"/>
        </w:rPr>
      </w:pPr>
      <w:r w:rsidRPr="00436403">
        <w:rPr>
          <w:sz w:val="22"/>
          <w:szCs w:val="22"/>
        </w:rPr>
        <w:t>- Lưu: VT, NVD</w:t>
      </w:r>
      <w:r>
        <w:rPr>
          <w:sz w:val="22"/>
          <w:szCs w:val="22"/>
        </w:rPr>
        <w:t>.</w:t>
      </w:r>
    </w:p>
    <w:p w:rsidR="00C77483" w:rsidRDefault="00C77483" w:rsidP="005B418A">
      <w:pPr>
        <w:rPr>
          <w:b/>
          <w:bCs/>
          <w:sz w:val="28"/>
          <w:szCs w:val="28"/>
        </w:rPr>
      </w:pPr>
      <w:r>
        <w:rPr>
          <w:b/>
          <w:bCs/>
          <w:sz w:val="28"/>
          <w:szCs w:val="28"/>
        </w:rPr>
        <w:t xml:space="preserve">                                             </w:t>
      </w:r>
    </w:p>
    <w:p w:rsidR="00C77483" w:rsidRDefault="00C77483" w:rsidP="005B418A">
      <w:pPr>
        <w:rPr>
          <w:b/>
          <w:bCs/>
          <w:sz w:val="28"/>
          <w:szCs w:val="28"/>
        </w:rPr>
        <w:sectPr w:rsidR="00C77483" w:rsidSect="00E21CE5">
          <w:pgSz w:w="12240" w:h="15840" w:code="1"/>
          <w:pgMar w:top="851" w:right="1041" w:bottom="567" w:left="1701" w:header="227" w:footer="227" w:gutter="0"/>
          <w:cols w:space="720"/>
          <w:docGrid w:linePitch="360"/>
        </w:sectPr>
      </w:pPr>
    </w:p>
    <w:p w:rsidR="00C77483" w:rsidRDefault="00C77483" w:rsidP="00906863">
      <w:pPr>
        <w:spacing w:before="120"/>
        <w:jc w:val="center"/>
        <w:outlineLvl w:val="3"/>
        <w:rPr>
          <w:b/>
          <w:bCs/>
          <w:sz w:val="28"/>
          <w:szCs w:val="28"/>
        </w:rPr>
      </w:pPr>
      <w:bookmarkStart w:id="0" w:name="_Toc478711864"/>
      <w:r>
        <w:rPr>
          <w:b/>
          <w:bCs/>
          <w:sz w:val="28"/>
          <w:szCs w:val="28"/>
        </w:rPr>
        <w:t xml:space="preserve">                    </w:t>
      </w:r>
      <w:r w:rsidRPr="00EB3AA1">
        <w:rPr>
          <w:b/>
          <w:bCs/>
          <w:sz w:val="28"/>
          <w:szCs w:val="28"/>
        </w:rPr>
        <w:t>BẢNG TIÊU CHUẨN ĐÁNH GIÁ VỀ NĂNG LỰC VÀ KINH NGHIỆM</w:t>
      </w:r>
      <w:bookmarkEnd w:id="0"/>
    </w:p>
    <w:p w:rsidR="00C77483" w:rsidRPr="00906863" w:rsidRDefault="00C77483" w:rsidP="00906863">
      <w:pPr>
        <w:spacing w:before="120"/>
        <w:jc w:val="center"/>
        <w:outlineLvl w:val="3"/>
        <w:rPr>
          <w:i/>
          <w:iCs/>
          <w:sz w:val="28"/>
          <w:szCs w:val="28"/>
        </w:rPr>
      </w:pPr>
      <w:r w:rsidRPr="00906863">
        <w:rPr>
          <w:i/>
          <w:iCs/>
          <w:sz w:val="28"/>
          <w:szCs w:val="28"/>
        </w:rPr>
        <w:t xml:space="preserve">(Kèm theo công văn số: </w:t>
      </w:r>
      <w:r>
        <w:rPr>
          <w:i/>
          <w:iCs/>
          <w:sz w:val="28"/>
          <w:szCs w:val="28"/>
        </w:rPr>
        <w:t>1032</w:t>
      </w:r>
      <w:bookmarkStart w:id="1" w:name="_GoBack"/>
      <w:bookmarkEnd w:id="1"/>
      <w:r w:rsidRPr="00906863">
        <w:rPr>
          <w:i/>
          <w:iCs/>
          <w:sz w:val="28"/>
          <w:szCs w:val="28"/>
        </w:rPr>
        <w:t>/SYT-NVD ngày 12/5/2017)</w:t>
      </w:r>
    </w:p>
    <w:p w:rsidR="00C77483" w:rsidRDefault="00C77483" w:rsidP="005B418A">
      <w:pPr>
        <w:rPr>
          <w:b/>
          <w:bCs/>
          <w:sz w:val="28"/>
          <w:szCs w:val="28"/>
        </w:rPr>
      </w:pPr>
    </w:p>
    <w:p w:rsidR="00C77483" w:rsidRDefault="00C77483" w:rsidP="005B418A">
      <w:pPr>
        <w:rPr>
          <w:b/>
          <w:bCs/>
          <w:sz w:val="28"/>
          <w:szCs w:val="28"/>
        </w:rPr>
      </w:pPr>
    </w:p>
    <w:tbl>
      <w:tblPr>
        <w:tblW w:w="1504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0"/>
        <w:gridCol w:w="1776"/>
        <w:gridCol w:w="5812"/>
        <w:gridCol w:w="1291"/>
        <w:gridCol w:w="1376"/>
        <w:gridCol w:w="2011"/>
        <w:gridCol w:w="1275"/>
        <w:gridCol w:w="1011"/>
      </w:tblGrid>
      <w:tr w:rsidR="00C77483" w:rsidRPr="00EB3AA1">
        <w:tc>
          <w:tcPr>
            <w:tcW w:w="8078" w:type="dxa"/>
            <w:gridSpan w:val="3"/>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Các tiêu chí năng lực và kinh nghiệm</w:t>
            </w:r>
          </w:p>
        </w:tc>
        <w:tc>
          <w:tcPr>
            <w:tcW w:w="5953" w:type="dxa"/>
            <w:gridSpan w:val="4"/>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Các yêu cầu cần tuân thủ</w:t>
            </w:r>
          </w:p>
        </w:tc>
        <w:tc>
          <w:tcPr>
            <w:tcW w:w="1011" w:type="dxa"/>
            <w:vMerge w:val="restart"/>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Tài liệu cần nộp</w:t>
            </w:r>
          </w:p>
        </w:tc>
      </w:tr>
      <w:tr w:rsidR="00C77483" w:rsidRPr="00EB3AA1">
        <w:tc>
          <w:tcPr>
            <w:tcW w:w="490" w:type="dxa"/>
            <w:vMerge w:val="restart"/>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TT</w:t>
            </w:r>
          </w:p>
        </w:tc>
        <w:tc>
          <w:tcPr>
            <w:tcW w:w="1776" w:type="dxa"/>
            <w:vMerge w:val="restart"/>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Mô tả</w:t>
            </w:r>
          </w:p>
        </w:tc>
        <w:tc>
          <w:tcPr>
            <w:tcW w:w="5812" w:type="dxa"/>
            <w:vMerge w:val="restart"/>
            <w:shd w:val="clear" w:color="auto" w:fill="FFFFFF"/>
            <w:vAlign w:val="center"/>
          </w:tcPr>
          <w:p w:rsidR="00C77483" w:rsidRPr="00EB3AA1" w:rsidRDefault="00C77483" w:rsidP="0058179F">
            <w:pPr>
              <w:spacing w:before="120"/>
              <w:ind w:hanging="104"/>
              <w:jc w:val="center"/>
              <w:rPr>
                <w:b/>
                <w:bCs/>
                <w:sz w:val="26"/>
                <w:szCs w:val="26"/>
              </w:rPr>
            </w:pPr>
            <w:r w:rsidRPr="00EB3AA1">
              <w:rPr>
                <w:b/>
                <w:bCs/>
                <w:sz w:val="26"/>
                <w:szCs w:val="26"/>
              </w:rPr>
              <w:t>Yêu cầu</w:t>
            </w:r>
          </w:p>
        </w:tc>
        <w:tc>
          <w:tcPr>
            <w:tcW w:w="1291" w:type="dxa"/>
            <w:vMerge w:val="restart"/>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Nhà thầu độc lập</w:t>
            </w:r>
          </w:p>
        </w:tc>
        <w:tc>
          <w:tcPr>
            <w:tcW w:w="4662" w:type="dxa"/>
            <w:gridSpan w:val="3"/>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Nhà thầu liên danh</w:t>
            </w:r>
          </w:p>
        </w:tc>
        <w:tc>
          <w:tcPr>
            <w:tcW w:w="1011" w:type="dxa"/>
            <w:vMerge/>
            <w:shd w:val="clear" w:color="auto" w:fill="FFFFFF"/>
          </w:tcPr>
          <w:p w:rsidR="00C77483" w:rsidRPr="00EB3AA1" w:rsidRDefault="00C77483" w:rsidP="0058179F">
            <w:pPr>
              <w:spacing w:before="120"/>
              <w:jc w:val="center"/>
              <w:rPr>
                <w:sz w:val="26"/>
                <w:szCs w:val="26"/>
              </w:rPr>
            </w:pPr>
          </w:p>
        </w:tc>
      </w:tr>
      <w:tr w:rsidR="00C77483" w:rsidRPr="00EB3AA1">
        <w:tc>
          <w:tcPr>
            <w:tcW w:w="490" w:type="dxa"/>
            <w:vMerge/>
            <w:shd w:val="clear" w:color="auto" w:fill="FFFFFF"/>
            <w:vAlign w:val="center"/>
          </w:tcPr>
          <w:p w:rsidR="00C77483" w:rsidRPr="00EB3AA1" w:rsidRDefault="00C77483" w:rsidP="0058179F">
            <w:pPr>
              <w:spacing w:before="120"/>
              <w:jc w:val="center"/>
              <w:rPr>
                <w:b/>
                <w:bCs/>
                <w:sz w:val="26"/>
                <w:szCs w:val="26"/>
              </w:rPr>
            </w:pPr>
          </w:p>
        </w:tc>
        <w:tc>
          <w:tcPr>
            <w:tcW w:w="1776" w:type="dxa"/>
            <w:vMerge/>
            <w:shd w:val="clear" w:color="auto" w:fill="FFFFFF"/>
            <w:vAlign w:val="center"/>
          </w:tcPr>
          <w:p w:rsidR="00C77483" w:rsidRPr="00EB3AA1" w:rsidRDefault="00C77483" w:rsidP="0058179F">
            <w:pPr>
              <w:spacing w:before="120"/>
              <w:jc w:val="center"/>
              <w:rPr>
                <w:b/>
                <w:bCs/>
                <w:sz w:val="26"/>
                <w:szCs w:val="26"/>
              </w:rPr>
            </w:pPr>
          </w:p>
        </w:tc>
        <w:tc>
          <w:tcPr>
            <w:tcW w:w="5812" w:type="dxa"/>
            <w:vMerge/>
            <w:shd w:val="clear" w:color="auto" w:fill="FFFFFF"/>
            <w:vAlign w:val="center"/>
          </w:tcPr>
          <w:p w:rsidR="00C77483" w:rsidRPr="00EB3AA1" w:rsidRDefault="00C77483" w:rsidP="0058179F">
            <w:pPr>
              <w:spacing w:before="120"/>
              <w:jc w:val="center"/>
              <w:rPr>
                <w:b/>
                <w:bCs/>
                <w:sz w:val="26"/>
                <w:szCs w:val="26"/>
              </w:rPr>
            </w:pPr>
          </w:p>
        </w:tc>
        <w:tc>
          <w:tcPr>
            <w:tcW w:w="1291" w:type="dxa"/>
            <w:vMerge/>
            <w:shd w:val="clear" w:color="auto" w:fill="FFFFFF"/>
            <w:vAlign w:val="center"/>
          </w:tcPr>
          <w:p w:rsidR="00C77483" w:rsidRPr="00EB3AA1" w:rsidRDefault="00C77483" w:rsidP="0058179F">
            <w:pPr>
              <w:spacing w:before="120"/>
              <w:jc w:val="center"/>
              <w:rPr>
                <w:b/>
                <w:bCs/>
                <w:sz w:val="26"/>
                <w:szCs w:val="26"/>
              </w:rPr>
            </w:pPr>
          </w:p>
        </w:tc>
        <w:tc>
          <w:tcPr>
            <w:tcW w:w="1376" w:type="dxa"/>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Tổng các thành viên liên danh</w:t>
            </w:r>
          </w:p>
        </w:tc>
        <w:tc>
          <w:tcPr>
            <w:tcW w:w="2011" w:type="dxa"/>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Từng thành viên liên danh</w:t>
            </w:r>
          </w:p>
        </w:tc>
        <w:tc>
          <w:tcPr>
            <w:tcW w:w="1275" w:type="dxa"/>
            <w:shd w:val="clear" w:color="auto" w:fill="FFFFFF"/>
            <w:vAlign w:val="center"/>
          </w:tcPr>
          <w:p w:rsidR="00C77483" w:rsidRPr="00EB3AA1" w:rsidRDefault="00C77483" w:rsidP="0058179F">
            <w:pPr>
              <w:spacing w:before="120"/>
              <w:jc w:val="center"/>
              <w:rPr>
                <w:b/>
                <w:bCs/>
                <w:sz w:val="26"/>
                <w:szCs w:val="26"/>
              </w:rPr>
            </w:pPr>
            <w:r w:rsidRPr="00EB3AA1">
              <w:rPr>
                <w:b/>
                <w:bCs/>
                <w:sz w:val="26"/>
                <w:szCs w:val="26"/>
              </w:rPr>
              <w:t>Tối thiểu một thành viên liên danh</w:t>
            </w:r>
          </w:p>
        </w:tc>
        <w:tc>
          <w:tcPr>
            <w:tcW w:w="1011" w:type="dxa"/>
            <w:vMerge/>
            <w:shd w:val="clear" w:color="auto" w:fill="FFFFFF"/>
          </w:tcPr>
          <w:p w:rsidR="00C77483" w:rsidRPr="00EB3AA1" w:rsidRDefault="00C77483" w:rsidP="0058179F">
            <w:pPr>
              <w:spacing w:before="120"/>
              <w:jc w:val="center"/>
              <w:rPr>
                <w:sz w:val="26"/>
                <w:szCs w:val="26"/>
              </w:rPr>
            </w:pPr>
          </w:p>
        </w:tc>
      </w:tr>
      <w:tr w:rsidR="00C77483" w:rsidRPr="00EB3AA1">
        <w:tc>
          <w:tcPr>
            <w:tcW w:w="490" w:type="dxa"/>
            <w:shd w:val="clear" w:color="auto" w:fill="FFFFFF"/>
          </w:tcPr>
          <w:p w:rsidR="00C77483" w:rsidRPr="00EB3AA1" w:rsidRDefault="00C77483" w:rsidP="0058179F">
            <w:pPr>
              <w:spacing w:before="120"/>
              <w:jc w:val="center"/>
              <w:rPr>
                <w:b/>
                <w:bCs/>
                <w:sz w:val="26"/>
                <w:szCs w:val="26"/>
              </w:rPr>
            </w:pPr>
            <w:r w:rsidRPr="00EB3AA1">
              <w:rPr>
                <w:b/>
                <w:bCs/>
                <w:sz w:val="26"/>
                <w:szCs w:val="26"/>
              </w:rPr>
              <w:t>1</w:t>
            </w:r>
          </w:p>
        </w:tc>
        <w:tc>
          <w:tcPr>
            <w:tcW w:w="14552" w:type="dxa"/>
            <w:gridSpan w:val="7"/>
            <w:shd w:val="clear" w:color="auto" w:fill="FFFFFF"/>
          </w:tcPr>
          <w:p w:rsidR="00C77483" w:rsidRPr="00EB3AA1" w:rsidRDefault="00C77483" w:rsidP="0058179F">
            <w:pPr>
              <w:spacing w:before="120"/>
              <w:rPr>
                <w:b/>
                <w:bCs/>
                <w:sz w:val="26"/>
                <w:szCs w:val="26"/>
              </w:rPr>
            </w:pPr>
            <w:r w:rsidRPr="00EB3AA1">
              <w:rPr>
                <w:b/>
                <w:bCs/>
                <w:sz w:val="26"/>
                <w:szCs w:val="26"/>
              </w:rPr>
              <w:t>Năng lực tài chính</w:t>
            </w:r>
          </w:p>
        </w:tc>
      </w:tr>
      <w:tr w:rsidR="00C77483" w:rsidRPr="00EB3AA1">
        <w:tc>
          <w:tcPr>
            <w:tcW w:w="490" w:type="dxa"/>
            <w:shd w:val="clear" w:color="auto" w:fill="FFFFFF"/>
          </w:tcPr>
          <w:p w:rsidR="00C77483" w:rsidRPr="00EB3AA1" w:rsidRDefault="00C77483" w:rsidP="0058179F">
            <w:pPr>
              <w:spacing w:before="120"/>
              <w:jc w:val="center"/>
              <w:rPr>
                <w:b/>
                <w:bCs/>
                <w:sz w:val="26"/>
                <w:szCs w:val="26"/>
              </w:rPr>
            </w:pPr>
            <w:r w:rsidRPr="00EB3AA1">
              <w:rPr>
                <w:b/>
                <w:bCs/>
                <w:sz w:val="26"/>
                <w:szCs w:val="26"/>
              </w:rPr>
              <w:t>1.3</w:t>
            </w:r>
          </w:p>
        </w:tc>
        <w:tc>
          <w:tcPr>
            <w:tcW w:w="1776" w:type="dxa"/>
            <w:shd w:val="clear" w:color="auto" w:fill="FFFFFF"/>
          </w:tcPr>
          <w:p w:rsidR="00C77483" w:rsidRPr="00EB3AA1" w:rsidRDefault="00C77483" w:rsidP="0058179F">
            <w:pPr>
              <w:spacing w:before="120"/>
              <w:ind w:right="113"/>
              <w:rPr>
                <w:b/>
                <w:bCs/>
                <w:sz w:val="26"/>
                <w:szCs w:val="26"/>
              </w:rPr>
            </w:pPr>
            <w:r w:rsidRPr="00EB3AA1">
              <w:rPr>
                <w:b/>
                <w:bCs/>
                <w:sz w:val="26"/>
                <w:szCs w:val="26"/>
              </w:rPr>
              <w:t>Yêu cầu về nguồn lực tài chính cho gói thầu</w:t>
            </w:r>
          </w:p>
        </w:tc>
        <w:tc>
          <w:tcPr>
            <w:tcW w:w="5812" w:type="dxa"/>
            <w:shd w:val="clear" w:color="auto" w:fill="FFFFFF"/>
          </w:tcPr>
          <w:p w:rsidR="00C77483" w:rsidRPr="00EB3AA1" w:rsidRDefault="00C77483" w:rsidP="0058179F">
            <w:pPr>
              <w:spacing w:before="120"/>
              <w:ind w:left="142" w:right="113"/>
              <w:jc w:val="both"/>
              <w:rPr>
                <w:sz w:val="26"/>
                <w:szCs w:val="26"/>
              </w:rPr>
            </w:pPr>
            <w:r w:rsidRPr="00EB3AA1">
              <w:rPr>
                <w:sz w:val="26"/>
                <w:szCs w:val="26"/>
              </w:rPr>
              <w:t>Nhà thầu phải chứng minh có các tài sản có khả năng thanh khoản cao</w:t>
            </w:r>
            <w:r w:rsidRPr="00EB3AA1">
              <w:rPr>
                <w:sz w:val="26"/>
                <w:szCs w:val="26"/>
                <w:vertAlign w:val="superscript"/>
              </w:rPr>
              <w:t>2</w:t>
            </w:r>
            <w:r w:rsidRPr="00EB3AA1">
              <w:rPr>
                <w:sz w:val="26"/>
                <w:szCs w:val="26"/>
              </w:rPr>
              <w:t xml:space="preserve"> hoặc có khả năng tiếp cận với tài sản có khả năng thanh khoản cao sẵn có, các khoản tín dụng hoặc các nguồn tài chính khác </w:t>
            </w:r>
            <w:r w:rsidRPr="00EB3AA1">
              <w:rPr>
                <w:i/>
                <w:iCs/>
                <w:sz w:val="26"/>
                <w:szCs w:val="26"/>
              </w:rPr>
              <w:t>(không kể các khoản tạm ứng thanh toán theo hợp đồng)</w:t>
            </w:r>
            <w:r w:rsidRPr="00EB3AA1">
              <w:rPr>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C77483" w:rsidRPr="00EB3AA1" w:rsidRDefault="00C77483" w:rsidP="0058179F">
            <w:pPr>
              <w:spacing w:before="120"/>
              <w:jc w:val="center"/>
              <w:rPr>
                <w:sz w:val="26"/>
                <w:szCs w:val="26"/>
              </w:rPr>
            </w:pPr>
            <w:r w:rsidRPr="00EB3AA1">
              <w:rPr>
                <w:sz w:val="26"/>
                <w:szCs w:val="26"/>
              </w:rPr>
              <w:t>Phải thỏa mãn yêu cầu này</w:t>
            </w:r>
          </w:p>
        </w:tc>
        <w:tc>
          <w:tcPr>
            <w:tcW w:w="1376" w:type="dxa"/>
            <w:shd w:val="clear" w:color="auto" w:fill="FFFFFF"/>
          </w:tcPr>
          <w:p w:rsidR="00C77483" w:rsidRPr="00EB3AA1" w:rsidRDefault="00C77483" w:rsidP="0058179F">
            <w:pPr>
              <w:spacing w:before="120"/>
              <w:jc w:val="center"/>
              <w:rPr>
                <w:sz w:val="26"/>
                <w:szCs w:val="26"/>
              </w:rPr>
            </w:pPr>
            <w:r w:rsidRPr="00EB3AA1">
              <w:rPr>
                <w:sz w:val="26"/>
                <w:szCs w:val="26"/>
              </w:rPr>
              <w:t>Phải thỏa mãn yêu cầu này</w:t>
            </w:r>
          </w:p>
        </w:tc>
        <w:tc>
          <w:tcPr>
            <w:tcW w:w="2011" w:type="dxa"/>
            <w:shd w:val="clear" w:color="auto" w:fill="FFFFFF"/>
          </w:tcPr>
          <w:p w:rsidR="00C77483" w:rsidRPr="00EB3AA1" w:rsidRDefault="00C77483" w:rsidP="0058179F">
            <w:pPr>
              <w:spacing w:before="120"/>
              <w:jc w:val="center"/>
              <w:rPr>
                <w:sz w:val="26"/>
                <w:szCs w:val="26"/>
              </w:rPr>
            </w:pPr>
            <w:r w:rsidRPr="00EB3AA1">
              <w:rPr>
                <w:sz w:val="26"/>
                <w:szCs w:val="26"/>
              </w:rPr>
              <w:t>Phải thỏa mãn yêu cầu (tương đương với phần công việc đảm nhận)</w:t>
            </w:r>
          </w:p>
        </w:tc>
        <w:tc>
          <w:tcPr>
            <w:tcW w:w="1275" w:type="dxa"/>
            <w:shd w:val="clear" w:color="auto" w:fill="FFFFFF"/>
          </w:tcPr>
          <w:p w:rsidR="00C77483" w:rsidRPr="00EB3AA1" w:rsidRDefault="00C77483" w:rsidP="0058179F">
            <w:pPr>
              <w:spacing w:before="120"/>
              <w:jc w:val="center"/>
              <w:rPr>
                <w:sz w:val="26"/>
                <w:szCs w:val="26"/>
              </w:rPr>
            </w:pPr>
            <w:r w:rsidRPr="00EB3AA1">
              <w:rPr>
                <w:sz w:val="26"/>
                <w:szCs w:val="26"/>
              </w:rPr>
              <w:t>Không áp dụng</w:t>
            </w:r>
          </w:p>
        </w:tc>
        <w:tc>
          <w:tcPr>
            <w:tcW w:w="1011" w:type="dxa"/>
            <w:shd w:val="clear" w:color="auto" w:fill="FFFFFF"/>
          </w:tcPr>
          <w:p w:rsidR="00C77483" w:rsidRPr="00EB3AA1" w:rsidRDefault="00C77483" w:rsidP="0058179F">
            <w:pPr>
              <w:spacing w:before="120"/>
              <w:jc w:val="center"/>
              <w:rPr>
                <w:sz w:val="26"/>
                <w:szCs w:val="26"/>
              </w:rPr>
            </w:pPr>
            <w:r w:rsidRPr="00EB3AA1">
              <w:rPr>
                <w:sz w:val="26"/>
                <w:szCs w:val="26"/>
              </w:rPr>
              <w:t>Các Mẫu số 8, 9</w:t>
            </w:r>
          </w:p>
        </w:tc>
      </w:tr>
    </w:tbl>
    <w:p w:rsidR="00C77483" w:rsidRPr="00947369" w:rsidRDefault="00C77483" w:rsidP="005B418A">
      <w:pPr>
        <w:rPr>
          <w:b/>
          <w:bCs/>
          <w:sz w:val="28"/>
          <w:szCs w:val="28"/>
        </w:rPr>
      </w:pPr>
      <w:r>
        <w:rPr>
          <w:b/>
          <w:bCs/>
          <w:sz w:val="28"/>
          <w:szCs w:val="28"/>
        </w:rPr>
        <w:t xml:space="preserve">   </w:t>
      </w:r>
    </w:p>
    <w:sectPr w:rsidR="00C77483" w:rsidRPr="00947369" w:rsidSect="00163F89">
      <w:pgSz w:w="15840" w:h="12240" w:orient="landscape" w:code="1"/>
      <w:pgMar w:top="851" w:right="851" w:bottom="1043" w:left="567" w:header="227" w:footer="22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52D"/>
    <w:multiLevelType w:val="hybridMultilevel"/>
    <w:tmpl w:val="6C962C5A"/>
    <w:lvl w:ilvl="0" w:tplc="010457FA">
      <w:start w:val="1"/>
      <w:numFmt w:val="bullet"/>
      <w:lvlText w:val="-"/>
      <w:lvlJc w:val="left"/>
      <w:pPr>
        <w:ind w:left="720" w:hanging="360"/>
      </w:pPr>
      <w:rPr>
        <w:rFonts w:ascii="Times New Roman" w:eastAsia="Times New Roman" w:hAnsi="Times New Roman"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CEC6A6A"/>
    <w:multiLevelType w:val="hybridMultilevel"/>
    <w:tmpl w:val="C58866A6"/>
    <w:lvl w:ilvl="0" w:tplc="4D9855CA">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2CC"/>
    <w:rsid w:val="00003E23"/>
    <w:rsid w:val="000068FF"/>
    <w:rsid w:val="00014581"/>
    <w:rsid w:val="00015DF7"/>
    <w:rsid w:val="00023739"/>
    <w:rsid w:val="00030915"/>
    <w:rsid w:val="00050A6F"/>
    <w:rsid w:val="00076A39"/>
    <w:rsid w:val="00093B8E"/>
    <w:rsid w:val="000A29E6"/>
    <w:rsid w:val="000B4C4E"/>
    <w:rsid w:val="001052D3"/>
    <w:rsid w:val="001064DF"/>
    <w:rsid w:val="00115D02"/>
    <w:rsid w:val="00137150"/>
    <w:rsid w:val="00160745"/>
    <w:rsid w:val="00163F89"/>
    <w:rsid w:val="00173FA8"/>
    <w:rsid w:val="001C72CC"/>
    <w:rsid w:val="00221526"/>
    <w:rsid w:val="00232FEF"/>
    <w:rsid w:val="002349CB"/>
    <w:rsid w:val="00236466"/>
    <w:rsid w:val="00253EF3"/>
    <w:rsid w:val="002549C7"/>
    <w:rsid w:val="00282AE1"/>
    <w:rsid w:val="002A19D1"/>
    <w:rsid w:val="002C3BA3"/>
    <w:rsid w:val="002C7C20"/>
    <w:rsid w:val="002D220A"/>
    <w:rsid w:val="002E6178"/>
    <w:rsid w:val="002F20B9"/>
    <w:rsid w:val="00314BAE"/>
    <w:rsid w:val="00347A7D"/>
    <w:rsid w:val="0037233D"/>
    <w:rsid w:val="003A0643"/>
    <w:rsid w:val="003A4CDA"/>
    <w:rsid w:val="003A6131"/>
    <w:rsid w:val="003B13E5"/>
    <w:rsid w:val="003B6616"/>
    <w:rsid w:val="003C5205"/>
    <w:rsid w:val="003E019A"/>
    <w:rsid w:val="004231CE"/>
    <w:rsid w:val="004250B2"/>
    <w:rsid w:val="00432954"/>
    <w:rsid w:val="00436403"/>
    <w:rsid w:val="00465349"/>
    <w:rsid w:val="00487232"/>
    <w:rsid w:val="00493764"/>
    <w:rsid w:val="004B2574"/>
    <w:rsid w:val="004D10F2"/>
    <w:rsid w:val="004D1A71"/>
    <w:rsid w:val="0050255C"/>
    <w:rsid w:val="00523B84"/>
    <w:rsid w:val="00532057"/>
    <w:rsid w:val="005326F1"/>
    <w:rsid w:val="005356E4"/>
    <w:rsid w:val="00535BDD"/>
    <w:rsid w:val="00556E5E"/>
    <w:rsid w:val="00567A28"/>
    <w:rsid w:val="0058179F"/>
    <w:rsid w:val="00583C26"/>
    <w:rsid w:val="00596B04"/>
    <w:rsid w:val="005A3EE5"/>
    <w:rsid w:val="005B157F"/>
    <w:rsid w:val="005B3AD2"/>
    <w:rsid w:val="005B418A"/>
    <w:rsid w:val="005D7DA5"/>
    <w:rsid w:val="005E0BD3"/>
    <w:rsid w:val="005E1B06"/>
    <w:rsid w:val="005E7FE8"/>
    <w:rsid w:val="005F77D3"/>
    <w:rsid w:val="0062776B"/>
    <w:rsid w:val="006277CC"/>
    <w:rsid w:val="00664CB3"/>
    <w:rsid w:val="00687E35"/>
    <w:rsid w:val="0069658A"/>
    <w:rsid w:val="006C7685"/>
    <w:rsid w:val="006D78C8"/>
    <w:rsid w:val="006F7C0B"/>
    <w:rsid w:val="007029E9"/>
    <w:rsid w:val="007063FB"/>
    <w:rsid w:val="0071696E"/>
    <w:rsid w:val="00716D2C"/>
    <w:rsid w:val="00731C9B"/>
    <w:rsid w:val="00737F66"/>
    <w:rsid w:val="00743EC4"/>
    <w:rsid w:val="0075516F"/>
    <w:rsid w:val="007714D3"/>
    <w:rsid w:val="007B1832"/>
    <w:rsid w:val="007B7E86"/>
    <w:rsid w:val="007C6365"/>
    <w:rsid w:val="007D7F65"/>
    <w:rsid w:val="007F3DF5"/>
    <w:rsid w:val="007F4C2D"/>
    <w:rsid w:val="00814CB7"/>
    <w:rsid w:val="00840E87"/>
    <w:rsid w:val="00872BF4"/>
    <w:rsid w:val="00884E42"/>
    <w:rsid w:val="00885201"/>
    <w:rsid w:val="008A0B09"/>
    <w:rsid w:val="008A32B0"/>
    <w:rsid w:val="008A741D"/>
    <w:rsid w:val="008C0A27"/>
    <w:rsid w:val="008C6343"/>
    <w:rsid w:val="008D1574"/>
    <w:rsid w:val="008F1842"/>
    <w:rsid w:val="00906863"/>
    <w:rsid w:val="00906898"/>
    <w:rsid w:val="00917DE7"/>
    <w:rsid w:val="009272E4"/>
    <w:rsid w:val="00944972"/>
    <w:rsid w:val="00947369"/>
    <w:rsid w:val="00951515"/>
    <w:rsid w:val="00960365"/>
    <w:rsid w:val="009629C9"/>
    <w:rsid w:val="009824E3"/>
    <w:rsid w:val="00992167"/>
    <w:rsid w:val="009A3635"/>
    <w:rsid w:val="009A7100"/>
    <w:rsid w:val="009B1252"/>
    <w:rsid w:val="009C7F79"/>
    <w:rsid w:val="009D4A38"/>
    <w:rsid w:val="009E1502"/>
    <w:rsid w:val="009E1B90"/>
    <w:rsid w:val="009E7BC8"/>
    <w:rsid w:val="00A364AB"/>
    <w:rsid w:val="00A46588"/>
    <w:rsid w:val="00A56B24"/>
    <w:rsid w:val="00A61E20"/>
    <w:rsid w:val="00A72D8F"/>
    <w:rsid w:val="00A826C6"/>
    <w:rsid w:val="00A8658C"/>
    <w:rsid w:val="00A86C18"/>
    <w:rsid w:val="00AA3C91"/>
    <w:rsid w:val="00AB1FB3"/>
    <w:rsid w:val="00AB7159"/>
    <w:rsid w:val="00AC0CFA"/>
    <w:rsid w:val="00AD554C"/>
    <w:rsid w:val="00AD6BE8"/>
    <w:rsid w:val="00AF31CE"/>
    <w:rsid w:val="00B03AA7"/>
    <w:rsid w:val="00B0732E"/>
    <w:rsid w:val="00B11B67"/>
    <w:rsid w:val="00B141E6"/>
    <w:rsid w:val="00B1509D"/>
    <w:rsid w:val="00B17315"/>
    <w:rsid w:val="00B2630D"/>
    <w:rsid w:val="00B446A4"/>
    <w:rsid w:val="00B51115"/>
    <w:rsid w:val="00B654CA"/>
    <w:rsid w:val="00B676EA"/>
    <w:rsid w:val="00B7739D"/>
    <w:rsid w:val="00B9066C"/>
    <w:rsid w:val="00B9696D"/>
    <w:rsid w:val="00B97CC4"/>
    <w:rsid w:val="00BB2D7A"/>
    <w:rsid w:val="00BC1221"/>
    <w:rsid w:val="00BC548F"/>
    <w:rsid w:val="00BD24CC"/>
    <w:rsid w:val="00BE0FA0"/>
    <w:rsid w:val="00BF605D"/>
    <w:rsid w:val="00C03F4D"/>
    <w:rsid w:val="00C04949"/>
    <w:rsid w:val="00C13E9A"/>
    <w:rsid w:val="00C17E71"/>
    <w:rsid w:val="00C37F19"/>
    <w:rsid w:val="00C46B78"/>
    <w:rsid w:val="00C77483"/>
    <w:rsid w:val="00C8781C"/>
    <w:rsid w:val="00C900F5"/>
    <w:rsid w:val="00C9357F"/>
    <w:rsid w:val="00CA67D8"/>
    <w:rsid w:val="00CD3B0D"/>
    <w:rsid w:val="00CD7280"/>
    <w:rsid w:val="00CD7E56"/>
    <w:rsid w:val="00CE2FD4"/>
    <w:rsid w:val="00CF012E"/>
    <w:rsid w:val="00D03D3B"/>
    <w:rsid w:val="00D1512E"/>
    <w:rsid w:val="00D30759"/>
    <w:rsid w:val="00D308DC"/>
    <w:rsid w:val="00D31E4D"/>
    <w:rsid w:val="00D37988"/>
    <w:rsid w:val="00D37B50"/>
    <w:rsid w:val="00D417AE"/>
    <w:rsid w:val="00D5075D"/>
    <w:rsid w:val="00D64CFD"/>
    <w:rsid w:val="00D92E01"/>
    <w:rsid w:val="00DA65FD"/>
    <w:rsid w:val="00DB5277"/>
    <w:rsid w:val="00DE4AA8"/>
    <w:rsid w:val="00DE6310"/>
    <w:rsid w:val="00DF404C"/>
    <w:rsid w:val="00E21CE5"/>
    <w:rsid w:val="00E236B8"/>
    <w:rsid w:val="00E255D9"/>
    <w:rsid w:val="00E26F6D"/>
    <w:rsid w:val="00E361BC"/>
    <w:rsid w:val="00E929B6"/>
    <w:rsid w:val="00EB3AA1"/>
    <w:rsid w:val="00EC3055"/>
    <w:rsid w:val="00EE1BBB"/>
    <w:rsid w:val="00EF0A46"/>
    <w:rsid w:val="00F11F8E"/>
    <w:rsid w:val="00F2216F"/>
    <w:rsid w:val="00F22F90"/>
    <w:rsid w:val="00F4659E"/>
    <w:rsid w:val="00F5766F"/>
    <w:rsid w:val="00F64F8D"/>
    <w:rsid w:val="00F91931"/>
    <w:rsid w:val="00FA0309"/>
    <w:rsid w:val="00FA19E9"/>
    <w:rsid w:val="00FA2E33"/>
    <w:rsid w:val="00FA7E7D"/>
    <w:rsid w:val="00FC3B50"/>
    <w:rsid w:val="00FD27EC"/>
    <w:rsid w:val="00FD285D"/>
    <w:rsid w:val="00FE0175"/>
    <w:rsid w:val="00FF46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365"/>
    <w:rPr>
      <w:sz w:val="24"/>
      <w:szCs w:val="24"/>
    </w:rPr>
  </w:style>
  <w:style w:type="paragraph" w:styleId="Heading1">
    <w:name w:val="heading 1"/>
    <w:aliases w:val="Đầu đề 1,Document Header1,ClauseGroup_Title"/>
    <w:basedOn w:val="Normal"/>
    <w:next w:val="Normal"/>
    <w:link w:val="Heading1Char"/>
    <w:uiPriority w:val="99"/>
    <w:qFormat/>
    <w:rsid w:val="005326F1"/>
    <w:pPr>
      <w:suppressAutoHyphens/>
      <w:spacing w:before="480" w:after="240"/>
      <w:jc w:val="center"/>
      <w:outlineLvl w:val="0"/>
    </w:pPr>
    <w:rPr>
      <w:rFonts w:ascii="Times New Roman Bold" w:hAnsi="Times New Roman Bold" w:cs="Times New Roman Bold"/>
      <w:b/>
      <w:bCs/>
      <w:smallCap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basedOn w:val="DefaultParagraphFont"/>
    <w:link w:val="Heading1"/>
    <w:uiPriority w:val="99"/>
    <w:locked/>
    <w:rsid w:val="005326F1"/>
    <w:rPr>
      <w:rFonts w:ascii="Times New Roman Bold" w:eastAsia="Times New Roman" w:hAnsi="Times New Roman Bold" w:cs="Times New Roman Bold"/>
      <w:b/>
      <w:bCs/>
      <w:smallCaps/>
      <w:sz w:val="36"/>
      <w:szCs w:val="36"/>
    </w:rPr>
  </w:style>
  <w:style w:type="table" w:styleId="TableGrid">
    <w:name w:val="Table Grid"/>
    <w:basedOn w:val="TableNormal"/>
    <w:uiPriority w:val="99"/>
    <w:rsid w:val="00567A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uiPriority w:val="99"/>
    <w:rsid w:val="00EE1BBB"/>
    <w:pPr>
      <w:spacing w:after="120"/>
      <w:jc w:val="center"/>
    </w:pPr>
    <w:rPr>
      <w:b/>
      <w:bCs/>
      <w:color w:val="0000FF"/>
      <w:sz w:val="20"/>
      <w:szCs w:val="20"/>
    </w:rPr>
  </w:style>
  <w:style w:type="character" w:customStyle="1" w:styleId="GiuaChar">
    <w:name w:val="Giua Char"/>
    <w:link w:val="Giua"/>
    <w:uiPriority w:val="99"/>
    <w:locked/>
    <w:rsid w:val="00EE1BBB"/>
    <w:rPr>
      <w:b/>
      <w:bCs/>
      <w:color w:val="0000FF"/>
      <w:lang/>
    </w:rPr>
  </w:style>
  <w:style w:type="paragraph" w:customStyle="1" w:styleId="CharCharChar">
    <w:name w:val="Char Char Char"/>
    <w:basedOn w:val="Normal"/>
    <w:next w:val="Normal"/>
    <w:autoRedefine/>
    <w:uiPriority w:val="99"/>
    <w:semiHidden/>
    <w:rsid w:val="00C8781C"/>
    <w:pPr>
      <w:spacing w:before="120" w:after="120" w:line="312" w:lineRule="auto"/>
    </w:pPr>
    <w:rPr>
      <w:sz w:val="28"/>
      <w:szCs w:val="28"/>
    </w:rPr>
  </w:style>
  <w:style w:type="paragraph" w:styleId="BalloonText">
    <w:name w:val="Balloon Text"/>
    <w:basedOn w:val="Normal"/>
    <w:link w:val="BalloonTextChar"/>
    <w:uiPriority w:val="99"/>
    <w:semiHidden/>
    <w:rsid w:val="009E7BC8"/>
    <w:rPr>
      <w:rFonts w:ascii="Segoe UI" w:hAnsi="Segoe UI" w:cs="Segoe UI"/>
      <w:sz w:val="18"/>
      <w:szCs w:val="18"/>
    </w:rPr>
  </w:style>
  <w:style w:type="character" w:customStyle="1" w:styleId="BalloonTextChar">
    <w:name w:val="Balloon Text Char"/>
    <w:basedOn w:val="DefaultParagraphFont"/>
    <w:link w:val="BalloonText"/>
    <w:uiPriority w:val="99"/>
    <w:locked/>
    <w:rsid w:val="009E7B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4181098">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550</Words>
  <Characters>3138</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HOÀ XÃ HỘI CHỦ NGHĨA VIỆT NAM</dc:title>
  <dc:subject/>
  <dc:creator>hp</dc:creator>
  <cp:keywords/>
  <dc:description/>
  <cp:lastModifiedBy>Administrator</cp:lastModifiedBy>
  <cp:revision>6</cp:revision>
  <cp:lastPrinted>2017-05-15T04:29:00Z</cp:lastPrinted>
  <dcterms:created xsi:type="dcterms:W3CDTF">2017-05-15T04:28:00Z</dcterms:created>
  <dcterms:modified xsi:type="dcterms:W3CDTF">2017-05-15T08:24:00Z</dcterms:modified>
</cp:coreProperties>
</file>